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widowControl/>
        <w:jc w:val="right"/>
        <w:rPr/>
      </w:pPr>
      <w:r>
        <w:rPr>
          <w:rFonts w:ascii="Arial" w:hAnsi="Arial"/>
          <w:szCs w:val="22"/>
        </w:rPr>
        <w:t>Приложение №2</w:t>
      </w:r>
    </w:p>
    <w:p>
      <w:pPr>
        <w:pStyle w:val="ConsPlusNormal"/>
        <w:widowControl/>
        <w:jc w:val="right"/>
        <w:rPr/>
      </w:pPr>
      <w:r>
        <w:rPr>
          <w:rFonts w:ascii="Arial" w:hAnsi="Arial"/>
          <w:szCs w:val="22"/>
        </w:rPr>
        <w:t xml:space="preserve"> </w:t>
      </w:r>
      <w:r>
        <w:rPr>
          <w:rFonts w:ascii="Arial" w:hAnsi="Arial"/>
          <w:szCs w:val="22"/>
        </w:rPr>
        <w:t>к распоряжению</w:t>
      </w:r>
      <w:r>
        <w:rPr>
          <w:rFonts w:eastAsia="Arial" w:ascii="Arial" w:hAnsi="Arial"/>
          <w:szCs w:val="22"/>
        </w:rPr>
        <w:t xml:space="preserve"> администрации </w:t>
      </w:r>
    </w:p>
    <w:p>
      <w:pPr>
        <w:pStyle w:val="ConsPlusNormal"/>
        <w:widowControl/>
        <w:jc w:val="right"/>
        <w:rPr/>
      </w:pPr>
      <w:r>
        <w:rPr>
          <w:rFonts w:ascii="Arial" w:hAnsi="Arial"/>
          <w:szCs w:val="22"/>
        </w:rPr>
        <w:t>Вагайскогокого муниципального района</w:t>
      </w:r>
    </w:p>
    <w:p>
      <w:pPr>
        <w:pStyle w:val="ConsPlusNormal"/>
        <w:widowControl/>
        <w:jc w:val="right"/>
        <w:rPr/>
      </w:pPr>
      <w:r>
        <w:rPr>
          <w:rFonts w:ascii="Arial" w:hAnsi="Arial"/>
          <w:szCs w:val="22"/>
        </w:rPr>
        <w:t xml:space="preserve">от </w:t>
      </w:r>
      <w:r>
        <w:rPr>
          <w:rFonts w:ascii="Arial" w:hAnsi="Arial"/>
          <w:szCs w:val="22"/>
        </w:rPr>
        <w:t>06.03.</w:t>
      </w:r>
      <w:r>
        <w:rPr>
          <w:rFonts w:ascii="Arial" w:hAnsi="Arial"/>
          <w:szCs w:val="22"/>
        </w:rPr>
        <w:t xml:space="preserve">2020  № </w:t>
      </w:r>
      <w:r>
        <w:rPr>
          <w:rFonts w:ascii="Arial" w:hAnsi="Arial"/>
          <w:szCs w:val="22"/>
        </w:rPr>
        <w:t>104-р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sz w:val="18"/>
          <w:szCs w:val="18"/>
        </w:rPr>
      </w:pPr>
      <w:r>
        <w:rPr>
          <w:rFonts w:cs="Times New Roman" w:ascii="Arial" w:hAnsi="Arial"/>
          <w:b/>
          <w:szCs w:val="22"/>
        </w:rPr>
        <w:t>План мероприятий («дорожная карта»)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/>
          <w:szCs w:val="22"/>
        </w:rPr>
      </w:pPr>
      <w:r>
        <w:rPr>
          <w:rFonts w:cs="Times New Roman" w:ascii="Arial" w:hAnsi="Arial"/>
          <w:b/>
          <w:szCs w:val="22"/>
        </w:rPr>
        <w:t xml:space="preserve"> </w:t>
      </w:r>
      <w:r>
        <w:rPr>
          <w:rFonts w:cs="Times New Roman" w:ascii="Arial" w:hAnsi="Arial"/>
          <w:b/>
          <w:szCs w:val="22"/>
        </w:rPr>
        <w:t>по содействию развитию конкуренции в Вагайском муниципальном районе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/>
          <w:szCs w:val="22"/>
        </w:rPr>
      </w:pPr>
      <w:r>
        <w:rPr>
          <w:rFonts w:ascii="Arial" w:hAnsi="Arial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Arial" w:hAnsi="Arial"/>
          <w:b/>
          <w:szCs w:val="22"/>
        </w:rPr>
        <w:t>I. Мероприятия по содействию развитию конкуренции</w:t>
      </w:r>
    </w:p>
    <w:p>
      <w:pPr>
        <w:pStyle w:val="ConsPlusNormal"/>
        <w:jc w:val="center"/>
        <w:rPr/>
      </w:pPr>
      <w:r>
        <w:rPr>
          <w:rFonts w:cs="Times New Roman" w:ascii="Arial" w:hAnsi="Arial"/>
          <w:b/>
          <w:szCs w:val="22"/>
        </w:rPr>
        <w:t xml:space="preserve">на социально значимых рынках </w:t>
      </w:r>
      <w:r>
        <w:rPr>
          <w:rFonts w:cs="Times New Roman" w:ascii="Arial" w:hAnsi="Arial"/>
          <w:b/>
          <w:sz w:val="22"/>
          <w:szCs w:val="22"/>
        </w:rPr>
        <w:t>в Вагайском муниципальном районе</w:t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услуг детского отдыха и оздоровления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14236" w:type="dxa"/>
        <w:jc w:val="left"/>
        <w:tblInd w:w="56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776"/>
        <w:gridCol w:w="8019"/>
        <w:gridCol w:w="1704"/>
        <w:gridCol w:w="2736"/>
      </w:tblGrid>
      <w:tr>
        <w:trPr>
          <w:trHeight w:val="271" w:hRule="atLeast"/>
        </w:trPr>
        <w:tc>
          <w:tcPr>
            <w:tcW w:w="142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услуг детского отдыха и оздоровления в Вагайском районе</w:t>
            </w:r>
          </w:p>
        </w:tc>
      </w:tr>
      <w:tr>
        <w:trPr>
          <w:trHeight w:val="1698" w:hRule="atLeast"/>
        </w:trPr>
        <w:tc>
          <w:tcPr>
            <w:tcW w:w="142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В муниципальном районе функционирует 22 лагеря дневного пребывания детей на базе общеобразовательных учреждений Вагайского района. </w:t>
            </w:r>
          </w:p>
          <w:p>
            <w:pPr>
              <w:pStyle w:val="Normal"/>
              <w:widowControl w:val="false"/>
              <w:spacing w:lineRule="auto" w:line="240" w:before="0" w:after="0"/>
              <w:ind w:left="346" w:hanging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По форме собственности организации детского отдыха и оздоровления Вагайского района относятся к муниципальной собственности.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highlight w:val="yellow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В 2019 году в организациях детского отдыха и оздоровления </w:t>
            </w:r>
            <w:r>
              <w:rPr>
                <w:rFonts w:eastAsia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отдохнуло 1616</w:t>
            </w:r>
            <w:r>
              <w:rPr>
                <w:rFonts w:eastAsia="Times New Roman"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>человек.</w:t>
            </w:r>
          </w:p>
        </w:tc>
      </w:tr>
      <w:tr>
        <w:trPr>
          <w:trHeight w:val="286" w:hRule="atLeast"/>
        </w:trPr>
        <w:tc>
          <w:tcPr>
            <w:tcW w:w="142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Проблематика ситуации на рынке детского отдыха и оздоровления в Вагайском муниципальном районе</w:t>
            </w:r>
          </w:p>
        </w:tc>
      </w:tr>
      <w:tr>
        <w:trPr>
          <w:trHeight w:val="1112" w:hRule="atLeast"/>
        </w:trPr>
        <w:tc>
          <w:tcPr>
            <w:tcW w:w="142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Существует необходимость расширения спектра оказываемых услуг в данной сфере в связи с возрастающим спросом за счет привлечения негосударственных организаций. Высокая степень монополизации рынка муниципальными организациями, отсутствие конкуренции со стороны частных компаний.</w:t>
            </w:r>
          </w:p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86" w:hRule="atLeast"/>
        </w:trPr>
        <w:tc>
          <w:tcPr>
            <w:tcW w:w="1423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развития конкуренции на рынке услуг отдыха и оздоровления детей</w:t>
            </w:r>
          </w:p>
        </w:tc>
      </w:tr>
      <w:tr>
        <w:trPr>
          <w:trHeight w:val="556" w:hRule="atLeast"/>
        </w:trPr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2209" w:hRule="atLeast"/>
        </w:trPr>
        <w:tc>
          <w:tcPr>
            <w:tcW w:w="17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качества и расширение спектра оказываемых услуг детского отдыха и оздоровления</w:t>
            </w:r>
          </w:p>
        </w:tc>
        <w:tc>
          <w:tcPr>
            <w:tcW w:w="80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Оказание организационной, методической и общественной поддержки частных инициатив негосударственных организаций отдыха, оздоровления детей, в том числе на принципах муниципального частного партнерства</w:t>
            </w:r>
          </w:p>
        </w:tc>
        <w:tc>
          <w:tcPr>
            <w:tcW w:w="1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образования администрации Вагайского муниципального района</w:t>
            </w:r>
          </w:p>
        </w:tc>
      </w:tr>
    </w:tbl>
    <w:p>
      <w:pPr>
        <w:pStyle w:val="ConsPlusNormal"/>
        <w:jc w:val="both"/>
        <w:rPr>
          <w:rFonts w:ascii="Arial" w:hAnsi="Arial"/>
          <w:b/>
          <w:b/>
          <w:color w:val="FF0000"/>
          <w:szCs w:val="22"/>
        </w:rPr>
      </w:pPr>
      <w:r>
        <w:rPr>
          <w:rFonts w:ascii="Arial" w:hAnsi="Arial"/>
          <w:b/>
          <w:color w:val="FF0000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/>
          <w:highlight w:val="yellow"/>
        </w:rPr>
      </w:pPr>
      <w:r>
        <w:rPr>
          <w:rFonts w:cs="Times New Roman" w:ascii="Arial" w:hAnsi="Arial"/>
          <w:b/>
          <w:szCs w:val="22"/>
        </w:rPr>
        <w:t>Рынок услуг дополнительного образования детей</w:t>
      </w:r>
    </w:p>
    <w:p>
      <w:pPr>
        <w:pStyle w:val="ConsPlusNormal"/>
        <w:jc w:val="both"/>
        <w:rPr>
          <w:rFonts w:ascii="Arial" w:hAnsi="Arial" w:cs="Times New Roman"/>
          <w:szCs w:val="22"/>
        </w:rPr>
      </w:pPr>
      <w:r>
        <w:rPr>
          <w:rFonts w:cs="Times New Roman" w:ascii="Arial" w:hAnsi="Arial"/>
          <w:szCs w:val="22"/>
        </w:rPr>
      </w:r>
    </w:p>
    <w:tbl>
      <w:tblPr>
        <w:tblW w:w="14236" w:type="dxa"/>
        <w:jc w:val="left"/>
        <w:tblInd w:w="17" w:type="dxa"/>
        <w:tblCellMar>
          <w:top w:w="102" w:type="dxa"/>
          <w:left w:w="1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2031"/>
        <w:gridCol w:w="6803"/>
        <w:gridCol w:w="1309"/>
        <w:gridCol w:w="4092"/>
      </w:tblGrid>
      <w:tr>
        <w:trPr/>
        <w:tc>
          <w:tcPr>
            <w:tcW w:w="142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Исходная фактическая информация по ситуации на рынке услуг дополнительного образования детей</w:t>
            </w:r>
          </w:p>
          <w:p>
            <w:pPr>
              <w:pStyle w:val="ConsPlusNormal"/>
              <w:jc w:val="center"/>
              <w:rPr>
                <w:rFonts w:ascii="Arial" w:hAnsi="Arial"/>
                <w:szCs w:val="22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в Вагайском районе</w:t>
            </w:r>
          </w:p>
        </w:tc>
      </w:tr>
      <w:tr>
        <w:trPr/>
        <w:tc>
          <w:tcPr>
            <w:tcW w:w="142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ind w:firstLine="283"/>
              <w:jc w:val="both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Конкурентная среда в сфере услуг дополнительного образования характеризуется доминированием организаций, находящихся в муниципальной собственности. Сеть организаций дополнительного образования детей и молодежи Вагайского района состоит из 1 организации, организаций из негосударственного сектора, осуществляющих деятельность в сфере дополнительного образования детей и молодежи не имеется.</w:t>
            </w:r>
          </w:p>
          <w:p>
            <w:pPr>
              <w:pStyle w:val="ConsPlusNormal"/>
              <w:ind w:firstLine="283"/>
              <w:jc w:val="both"/>
              <w:rPr>
                <w:color w:val="FF0000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По стат.данным удельный вес численности детей, получающих услуги дополнительного образования, в общей численности детей в </w:t>
            </w:r>
            <w:r>
              <w:rPr>
                <w:rFonts w:cs="Times New Roman" w:ascii="Arial" w:hAnsi="Arial"/>
                <w:color w:val="000000" w:themeColor="text1"/>
                <w:szCs w:val="22"/>
              </w:rPr>
              <w:t>возрасте 5 - 18 лет по итогам 2019 года составляет 79,1% (2018 год -  69,6%.).</w:t>
            </w:r>
            <w:r>
              <w:rPr>
                <w:rFonts w:cs="Times New Roman" w:ascii="Arial" w:hAnsi="Arial"/>
                <w:color w:val="FF0000"/>
                <w:szCs w:val="22"/>
              </w:rPr>
              <w:t xml:space="preserve"> </w:t>
            </w:r>
          </w:p>
          <w:p>
            <w:pPr>
              <w:pStyle w:val="ConsPlusNormal"/>
              <w:ind w:firstLine="283"/>
              <w:jc w:val="both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Ежегодный рост численности детей обуславливают необходимость привлечения негосударственных организаций дополнительного образования детей и молодежи. Численность детей в возрасте </w:t>
            </w:r>
            <w:r>
              <w:rPr>
                <w:rFonts w:cs="Times New Roman" w:ascii="Arial" w:hAnsi="Arial"/>
                <w:color w:val="000000" w:themeColor="text1"/>
                <w:szCs w:val="22"/>
              </w:rPr>
              <w:t>от 5 до 18 лет оценочно составила на 01.01.2019 – 4116 человек.</w:t>
            </w:r>
          </w:p>
        </w:tc>
      </w:tr>
      <w:tr>
        <w:trPr/>
        <w:tc>
          <w:tcPr>
            <w:tcW w:w="142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Проблематика ситуации на рынке услуг дополнительного образования детей в Вагайском районе</w:t>
            </w:r>
          </w:p>
        </w:tc>
      </w:tr>
      <w:tr>
        <w:trPr/>
        <w:tc>
          <w:tcPr>
            <w:tcW w:w="142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Необходимость расширения спектра образовательных организаций, оказывающих услуги дополнительного образования, обусловлена опережающим ростом численности детей данного возраста и возрастающим спросом населения на услуги дополнительного образования. Высокий уровень монополизации рынка услуг дополнительного образования детей государственными образовательными учреждениями.</w:t>
            </w:r>
          </w:p>
        </w:tc>
      </w:tr>
      <w:tr>
        <w:trPr/>
        <w:tc>
          <w:tcPr>
            <w:tcW w:w="1423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Создание условий для развития конкуренции на рынке услуг дополнительного образования детей</w:t>
            </w:r>
          </w:p>
        </w:tc>
      </w:tr>
      <w:tr>
        <w:trPr/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Цель</w:t>
            </w:r>
          </w:p>
        </w:tc>
        <w:tc>
          <w:tcPr>
            <w:tcW w:w="6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Мероприятие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Срок реализации</w:t>
            </w:r>
          </w:p>
        </w:tc>
        <w:tc>
          <w:tcPr>
            <w:tcW w:w="40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Ответственный исполнитель</w:t>
            </w:r>
          </w:p>
        </w:tc>
      </w:tr>
      <w:tr>
        <w:trPr/>
        <w:tc>
          <w:tcPr>
            <w:tcW w:w="20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Повышение качества и расширение спектра оказываемых услуг дополнительного образования детей</w:t>
            </w:r>
          </w:p>
        </w:tc>
        <w:tc>
          <w:tcPr>
            <w:tcW w:w="6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Проведение информационно-просветительских мероприятий с целью повышения мотивации семей к вовлечению детей к занятию дополнительным образованием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Постоянно</w:t>
            </w:r>
          </w:p>
        </w:tc>
        <w:tc>
          <w:tcPr>
            <w:tcW w:w="4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Главный специалист администрации района (по культуре и молодежной политике и спорту)</w:t>
            </w:r>
          </w:p>
        </w:tc>
      </w:tr>
      <w:tr>
        <w:trPr/>
        <w:tc>
          <w:tcPr>
            <w:tcW w:w="203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6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Cs w:val="22"/>
              </w:rPr>
              <w:t>Проведение мероприятий по развитию научно-технического творчества: районных конкурсов технического творчества, соревнований по спортивно-техническим видам спорта и т.д.</w:t>
            </w:r>
          </w:p>
        </w:tc>
        <w:tc>
          <w:tcPr>
            <w:tcW w:w="13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0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ConsPlusNormal"/>
        <w:jc w:val="both"/>
        <w:rPr>
          <w:rFonts w:ascii="Arial" w:hAnsi="Arial" w:cs="Times New Roman"/>
          <w:szCs w:val="22"/>
        </w:rPr>
      </w:pPr>
      <w:r>
        <w:rPr>
          <w:rFonts w:cs="Times New Roman" w:ascii="Arial" w:hAnsi="Arial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Arial" w:hAnsi="Arial"/>
          <w:b/>
          <w:szCs w:val="22"/>
        </w:rPr>
        <w:t>Рынок услуг жилищно-коммунального хозяйства</w:t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tbl>
      <w:tblPr>
        <w:tblW w:w="5000" w:type="pct"/>
        <w:jc w:val="left"/>
        <w:tblInd w:w="-45" w:type="dxa"/>
        <w:tblCellMar>
          <w:top w:w="102" w:type="dxa"/>
          <w:left w:w="1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747"/>
        <w:gridCol w:w="4446"/>
        <w:gridCol w:w="1879"/>
        <w:gridCol w:w="3214"/>
      </w:tblGrid>
      <w:tr>
        <w:trPr/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Исходная фактическая информация по ситуации на рынке услуг жилищно-коммунального хозяйства в Вагайском районе</w:t>
            </w:r>
          </w:p>
        </w:tc>
      </w:tr>
      <w:tr>
        <w:trPr>
          <w:trHeight w:val="606" w:hRule="atLeast"/>
        </w:trPr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ind w:firstLine="283"/>
              <w:jc w:val="both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 состоянию на 01.01.2020 в жилищно-коммунальном комплексе Вагайского района функционируют муниципальные унитарные предприятия МУП ЖКХ «Вагай», МУП «Ремжилстройсервис». Предприятие осуществляет деятельность по предоставлению коммунальных услуг гражданам, а также по управлению, содержанию и ремонту жилищного фонда.</w:t>
            </w:r>
          </w:p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В целях реализации мероприятий по снижению убыточности предприятия основным направлением является работа по взысканию просроченной задолженности с потребителей: разрабатываются планы-графики по работе с должниками, составляются графики погашения задолженности.</w:t>
            </w:r>
          </w:p>
          <w:p>
            <w:pPr>
              <w:pStyle w:val="ConsPlusNormal"/>
              <w:ind w:firstLine="283"/>
              <w:jc w:val="both"/>
              <w:rPr>
                <w:rFonts w:ascii="Arial" w:hAnsi="Arial" w:cs="Times New Roman"/>
                <w:szCs w:val="22"/>
              </w:rPr>
            </w:pPr>
            <w:r>
              <w:rPr>
                <w:rFonts w:cs="Times New Roman" w:ascii="Arial" w:hAnsi="Arial"/>
                <w:szCs w:val="22"/>
              </w:rPr>
            </w:r>
          </w:p>
        </w:tc>
      </w:tr>
      <w:tr>
        <w:trPr/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Cs w:val="22"/>
              </w:rPr>
              <w:t xml:space="preserve">В соответствии с нормами Жилищного </w:t>
            </w:r>
            <w:hyperlink r:id="rId2">
              <w:r>
                <w:rPr>
                  <w:rStyle w:val="Style14"/>
                  <w:rFonts w:ascii="Arial" w:hAnsi="Arial"/>
                  <w:szCs w:val="22"/>
                </w:rPr>
                <w:t>кодекса</w:t>
              </w:r>
            </w:hyperlink>
            <w:r>
              <w:rPr>
                <w:rFonts w:cs="Times New Roman" w:ascii="Arial" w:hAnsi="Arial"/>
                <w:szCs w:val="22"/>
              </w:rPr>
              <w:t xml:space="preserve"> Российской Федерации введена новая система организации и финансирования капитального ремонта общего имущества в многоквартирных домах. Выполнение капитального ремонта многоквартирных домов осуществляется в соответствии с Региональной программой за счет средств фонда капитального ремонта, накапливаемых собственниками за счет регулярных взносов.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Cs w:val="22"/>
              </w:rPr>
              <w:t xml:space="preserve">Ключевая роль в новой системе капитального ремонта отведена некоммерческим организациям, деятельность которых направлена на выполнение работ и (или) услуг по проведению капитального ремонта, образованных в форме Фонда. </w:t>
            </w:r>
            <w:hyperlink r:id="rId3">
              <w:r>
                <w:rPr>
                  <w:rStyle w:val="Style14"/>
                  <w:rFonts w:ascii="Arial" w:hAnsi="Arial"/>
                  <w:szCs w:val="22"/>
                </w:rPr>
                <w:t>Постановлением</w:t>
              </w:r>
            </w:hyperlink>
            <w:r>
              <w:rPr>
                <w:rFonts w:cs="Times New Roman" w:ascii="Arial" w:hAnsi="Arial"/>
                <w:szCs w:val="22"/>
              </w:rPr>
              <w:t xml:space="preserve"> Правительства Тюменской области от 27.12.2013 N 580-п создана некоммерческая организация "Фонд капитального ремонта многоквартирных домов Тюменской области".</w:t>
            </w:r>
          </w:p>
          <w:p>
            <w:pPr>
              <w:pStyle w:val="ConsPlusNormal"/>
              <w:ind w:firstLine="283"/>
              <w:jc w:val="both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Деятельность по управлению многоквартирными домами частично осуществляет МУП «Ремжилстройсервис», непосредственно сами жильцы, в нескольких домах форма управления не избрана</w:t>
            </w:r>
          </w:p>
        </w:tc>
      </w:tr>
      <w:tr>
        <w:trPr/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Проблематика ситуации на рынке услуг жилищно-коммунального хозяйства в Вагайском районе</w:t>
            </w:r>
          </w:p>
        </w:tc>
      </w:tr>
      <w:tr>
        <w:trPr/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ind w:firstLine="283"/>
              <w:jc w:val="both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Объекты теплоснабжения, водоснабжения Вагайского района являются муниципальной собственностью. Финансовых возможностей муниципального бюджета на реализацию мероприятий, направленных на решение всего спектра проблемных вопросов, связанных с улучшением технико-экономических показателей их работы, в настоящее время недостаточно. </w:t>
            </w:r>
          </w:p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В соответствии с требованиями действующего законодательства, с целью повышения эффективности использования имущества, находящегося в муниципальной собственности и повышения качества работ, услуг предоставляемых потребителям планируется осуществление мероприятий, направленных на заключение концессионных соглашений, в том числе:</w:t>
            </w:r>
          </w:p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- разработка (актуализация) и утверждение схем теплоснабжения, водоснабжения;</w:t>
            </w:r>
          </w:p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- разработка и утверждение программы комплексного развития систем коммунальной инфраструктуры;</w:t>
            </w:r>
          </w:p>
          <w:p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- определение и публикация в установленном действующим законодательством порядке перечня объектов коммунальной инфраструктуры для заключения концессионных соглашений</w:t>
            </w:r>
          </w:p>
        </w:tc>
      </w:tr>
      <w:tr>
        <w:trPr/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Создание условий для развития конкуренции на рынке услуг жилищно-коммунального хозяйства</w:t>
            </w:r>
          </w:p>
        </w:tc>
      </w:tr>
      <w:tr>
        <w:trPr/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Цель</w:t>
            </w:r>
          </w:p>
        </w:tc>
        <w:tc>
          <w:tcPr>
            <w:tcW w:w="4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Мероприятие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Срок реализации</w:t>
            </w: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Ответственный исполнитель</w:t>
            </w:r>
          </w:p>
        </w:tc>
      </w:tr>
      <w:tr>
        <w:trPr/>
        <w:tc>
          <w:tcPr>
            <w:tcW w:w="4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Cs w:val="22"/>
              </w:rPr>
              <w:t xml:space="preserve">Обеспечение информационной открытости отрасли жилищно-коммунального хозяйства Российской Федерации путем использования государственной информационной системы жилищно-коммунального хозяйства в соответствии с Федеральным </w:t>
            </w:r>
            <w:hyperlink r:id="rId4">
              <w:r>
                <w:rPr>
                  <w:rStyle w:val="Style14"/>
                  <w:rFonts w:ascii="Arial" w:hAnsi="Arial"/>
                  <w:szCs w:val="22"/>
                </w:rPr>
                <w:t>законом</w:t>
              </w:r>
            </w:hyperlink>
            <w:r>
              <w:rPr>
                <w:rFonts w:cs="Times New Roman" w:ascii="Arial" w:hAnsi="Arial"/>
                <w:szCs w:val="22"/>
              </w:rPr>
              <w:t xml:space="preserve"> "О государственной информационной системе жилищно-коммунального хозяйства" (далее ГИС ЖКХ)</w:t>
            </w:r>
          </w:p>
        </w:tc>
        <w:tc>
          <w:tcPr>
            <w:tcW w:w="4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Внесение информации, предусмотренной действующим законодательством, в ГИС ЖКХ 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В течение года</w:t>
            </w: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rFonts w:ascii="Arial" w:hAnsi="Arial" w:cs="Times New Roman"/>
                <w:szCs w:val="22"/>
              </w:rPr>
            </w:pPr>
            <w:r>
              <w:rPr>
                <w:rFonts w:cs="Times New Roman" w:ascii="Arial" w:hAnsi="Arial"/>
                <w:szCs w:val="22"/>
              </w:rPr>
            </w:r>
          </w:p>
          <w:p>
            <w:pPr>
              <w:pStyle w:val="ConsPlusNormal"/>
              <w:jc w:val="center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Управление муниципального имущества, строительства, ЖКХ и земельных отношений</w:t>
            </w:r>
          </w:p>
        </w:tc>
      </w:tr>
      <w:tr>
        <w:trPr/>
        <w:tc>
          <w:tcPr>
            <w:tcW w:w="47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Обеспечение развития сферы жилищно-коммунального хозяйства субъектов Российской Федерации, предусматривающего реализацию законодательства РФ, решений Президента Российской Федерации и решений Правительства Российской Федерации в сфере жилищно-коммунального хозяйства</w:t>
            </w:r>
          </w:p>
        </w:tc>
        <w:tc>
          <w:tcPr>
            <w:tcW w:w="4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Регистрация органами местного самоуправления прав муниципальной собственности на объекты коммунальной инфраструктуры, в том числе объекты теплоснабжения, централизованных систем водоснабжения, в том числе бесхозяйные объекты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 мере выявления объектов</w:t>
            </w:r>
          </w:p>
        </w:tc>
        <w:tc>
          <w:tcPr>
            <w:tcW w:w="32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highlight w:val="yellow"/>
              </w:rPr>
            </w:pPr>
            <w:bookmarkStart w:id="0" w:name="__DdeLink__1647_191452095"/>
            <w:bookmarkEnd w:id="0"/>
            <w:r>
              <w:rPr>
                <w:rFonts w:cs="Times New Roman" w:ascii="Arial" w:hAnsi="Arial"/>
                <w:szCs w:val="22"/>
              </w:rPr>
              <w:t>Управление муниципального имущества, строительства, ЖКХ и земельных отношений</w:t>
            </w:r>
          </w:p>
        </w:tc>
      </w:tr>
      <w:tr>
        <w:trPr/>
        <w:tc>
          <w:tcPr>
            <w:tcW w:w="47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Утверждение муниципальных программ, направленных на развитие жилищно-коммунального хозяйства Вагайского района 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Исполнено</w:t>
            </w:r>
          </w:p>
        </w:tc>
        <w:tc>
          <w:tcPr>
            <w:tcW w:w="32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47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Реализация муниципальных программ, направленных на развитие жилищно-коммунального хозяйства Вагайского района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Постоянно</w:t>
            </w:r>
          </w:p>
        </w:tc>
        <w:tc>
          <w:tcPr>
            <w:tcW w:w="32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474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44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Корректировка муниципальных программ, направленных на развитие жилищно-коммунального хозяйства Вагайского района</w:t>
            </w:r>
          </w:p>
        </w:tc>
        <w:tc>
          <w:tcPr>
            <w:tcW w:w="1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Arial" w:hAnsi="Arial"/>
                <w:szCs w:val="22"/>
              </w:rPr>
              <w:t>По мере необходимости</w:t>
            </w:r>
          </w:p>
        </w:tc>
        <w:tc>
          <w:tcPr>
            <w:tcW w:w="321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szCs w:val="22"/>
        </w:rPr>
      </w:pPr>
      <w:r>
        <w:rPr>
          <w:rFonts w:cs="Times New Roman" w:ascii="Arial" w:hAnsi="Arial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szCs w:val="22"/>
        </w:rPr>
      </w:pPr>
      <w:r>
        <w:rPr>
          <w:rFonts w:cs="Times New Roman" w:ascii="Arial" w:hAnsi="Arial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szCs w:val="22"/>
        </w:rPr>
      </w:pPr>
      <w:r>
        <w:rPr>
          <w:rFonts w:cs="Times New Roman" w:ascii="Arial" w:hAnsi="Arial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szCs w:val="22"/>
        </w:rPr>
      </w:pPr>
      <w:r>
        <w:rPr>
          <w:rFonts w:cs="Times New Roman" w:ascii="Arial" w:hAnsi="Arial"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szCs w:val="22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-13970</wp:posOffset>
                </wp:positionH>
                <wp:positionV relativeFrom="paragraph">
                  <wp:posOffset>635</wp:posOffset>
                </wp:positionV>
                <wp:extent cx="9072245" cy="232664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71640" cy="232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5000" w:type="pct"/>
                              <w:jc w:val="left"/>
                              <w:tblInd w:w="17" w:type="dxa"/>
                              <w:tblCellMar>
                                <w:top w:w="102" w:type="dxa"/>
                                <w:left w:w="12" w:type="dxa"/>
                                <w:bottom w:w="102" w:type="dxa"/>
                                <w:right w:w="62" w:type="dxa"/>
                              </w:tblCellMar>
                              <w:tblLook w:firstRow="0" w:noVBand="0" w:lastRow="0" w:firstColumn="0" w:lastColumn="0" w:noHBand="0" w:val="0000"/>
                            </w:tblPr>
                            <w:tblGrid>
                              <w:gridCol w:w="6401"/>
                              <w:gridCol w:w="1423"/>
                              <w:gridCol w:w="1498"/>
                              <w:gridCol w:w="1497"/>
                              <w:gridCol w:w="1499"/>
                              <w:gridCol w:w="1968"/>
                            </w:tblGrid>
                            <w:tr>
                              <w:trPr/>
                              <w:tc>
                                <w:tcPr>
                                  <w:tcW w:w="6401" w:type="dxa"/>
                                  <w:vMerge w:val="restart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>Наименование контрольного показателя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>2018 год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>2019 год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>2020 год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2021 год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2022 год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6401" w:type="dxa"/>
                                  <w:vMerge w:val="continue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Normal"/>
                                    <w:spacing w:before="0" w:after="200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 xml:space="preserve">факт                 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факт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план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план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</w:rPr>
                                    <w:t>план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64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>Доля управляющих организаций, получивших лицензии на осуществление деятельности по управлению многоквартирными домами, соответствующих лицензионным требованиям, %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color w:val="000000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color w:val="000000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color w:val="000000"/>
                                      <w:szCs w:val="22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  <w:color w:val="00000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  <w:color w:val="000000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640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</w:tcPr>
                                <w:p>
                                  <w:pPr>
                                    <w:pStyle w:val="ConsPlusNormal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szCs w:val="22"/>
                                    </w:rPr>
                                    <w:t>Объем информации, раскрываемой в соответствии с требованиями государственной информационной системы жилищно-коммунального хозяйства (ГИС ЖКХ), об отрасли жилищно-коммунального хозяйства, %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color w:val="000000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4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color w:val="000000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49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cs="Times New Roman" w:ascii="Arial" w:hAnsi="Arial"/>
                                      <w:color w:val="000000"/>
                                      <w:szCs w:val="22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  <w:color w:val="000000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196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color="auto" w:fill="auto" w:val="clear"/>
                                  <w:vAlign w:val="center"/>
                                </w:tcPr>
                                <w:p>
                                  <w:pPr>
                                    <w:pStyle w:val="ConsPlus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/>
                                      <w:color w:val="000000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4"/>
                              <w:spacing w:before="0" w:after="20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</wp:anchor>
            </w:drawing>
          </mc:Choice>
          <mc:Fallback>
            <w:pict>
              <v:rect id="shape_0" ID="Врезка1" stroked="f" style="position:absolute;margin-left:-1.1pt;margin-top:0.05pt;width:714.25pt;height:183.1pt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5000" w:type="pct"/>
                        <w:jc w:val="left"/>
                        <w:tblInd w:w="17" w:type="dxa"/>
                        <w:tblCellMar>
                          <w:top w:w="102" w:type="dxa"/>
                          <w:left w:w="12" w:type="dxa"/>
                          <w:bottom w:w="102" w:type="dxa"/>
                          <w:right w:w="62" w:type="dxa"/>
                        </w:tblCellMar>
                        <w:tblLook w:firstRow="0" w:noVBand="0" w:lastRow="0" w:firstColumn="0" w:lastColumn="0" w:noHBand="0" w:val="0000"/>
                      </w:tblPr>
                      <w:tblGrid>
                        <w:gridCol w:w="6401"/>
                        <w:gridCol w:w="1423"/>
                        <w:gridCol w:w="1498"/>
                        <w:gridCol w:w="1497"/>
                        <w:gridCol w:w="1499"/>
                        <w:gridCol w:w="1968"/>
                      </w:tblGrid>
                      <w:tr>
                        <w:trPr/>
                        <w:tc>
                          <w:tcPr>
                            <w:tcW w:w="6401" w:type="dxa"/>
                            <w:vMerge w:val="restart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>Наименование контрольного показателя</w:t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>2018 год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>2019 год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>2020 год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</w:rPr>
                              <w:t>2021 год</w:t>
                            </w:r>
                          </w:p>
                        </w:tc>
                        <w:tc>
                          <w:tcPr>
                            <w:tcW w:w="196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</w:rPr>
                              <w:t>2022 год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6401" w:type="dxa"/>
                            <w:vMerge w:val="continue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Normal"/>
                              <w:spacing w:before="0" w:after="200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 xml:space="preserve">факт                 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</w:rPr>
                              <w:t>факт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</w:rPr>
                              <w:t>план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</w:rPr>
                              <w:t>план</w:t>
                            </w:r>
                          </w:p>
                        </w:tc>
                        <w:tc>
                          <w:tcPr>
                            <w:tcW w:w="196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</w:rPr>
                              <w:t>план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64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>Доля управляющих организаций, получивших лицензии на осуществление деятельности по управлению многоквартирными домами, соответствующих лицензионным требованиям, %</w:t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color w:val="000000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color w:val="000000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color w:val="000000"/>
                                <w:szCs w:val="22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96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50</w:t>
                            </w:r>
                          </w:p>
                        </w:tc>
                      </w:tr>
                      <w:tr>
                        <w:trPr/>
                        <w:tc>
                          <w:tcPr>
                            <w:tcW w:w="640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</w:tcPr>
                          <w:p>
                            <w:pPr>
                              <w:pStyle w:val="ConsPlusNormal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szCs w:val="22"/>
                              </w:rPr>
                              <w:t>Объем информации, раскрываемой в соответствии с требованиями государственной информационной системы жилищно-коммунального хозяйства (ГИС ЖКХ), об отрасли жилищно-коммунального хозяйства, %</w:t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color w:val="000000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4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color w:val="000000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49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cs="Times New Roman" w:ascii="Arial" w:hAnsi="Arial"/>
                                <w:color w:val="000000"/>
                                <w:szCs w:val="22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196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color="auto" w:fill="auto" w:val="clear"/>
                            <w:vAlign w:val="center"/>
                          </w:tcPr>
                          <w:p>
                            <w:pPr>
                              <w:pStyle w:val="ConsPlusNormal"/>
                              <w:jc w:val="center"/>
                              <w:rPr/>
                            </w:pPr>
                            <w:r>
                              <w:rPr>
                                <w:rFonts w:ascii="Arial" w:hAnsi="Arial"/>
                                <w:color w:val="000000"/>
                              </w:rPr>
                              <w:t>100</w:t>
                            </w:r>
                          </w:p>
                        </w:tc>
                      </w:tr>
                    </w:tbl>
                    <w:p>
                      <w:pPr>
                        <w:pStyle w:val="Style24"/>
                        <w:spacing w:before="0" w:after="20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Times New Roman" w:ascii="Arial" w:hAnsi="Arial"/>
          <w:szCs w:val="22"/>
        </w:rPr>
        <w:br/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Arial" w:hAnsi="Arial" w:cs="Times New Roman"/>
          <w:b/>
          <w:b/>
          <w:szCs w:val="22"/>
          <w:highlight w:val="yellow"/>
        </w:rPr>
      </w:pPr>
      <w:r>
        <w:rPr>
          <w:rFonts w:cs="Times New Roman" w:ascii="Arial" w:hAnsi="Arial"/>
          <w:b/>
          <w:szCs w:val="22"/>
        </w:rPr>
        <w:t>Рынок услуг розничной торговли лекарственными препаратами, медицинскими изделиями и сопутствующими товарами</w:t>
      </w:r>
    </w:p>
    <w:p>
      <w:pPr>
        <w:pStyle w:val="ConsPlusNormal"/>
        <w:numPr>
          <w:ilvl w:val="0"/>
          <w:numId w:val="0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7" w:type="dxa"/>
        <w:tblCellMar>
          <w:top w:w="102" w:type="dxa"/>
          <w:left w:w="7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143"/>
        <w:gridCol w:w="6179"/>
        <w:gridCol w:w="2101"/>
        <w:gridCol w:w="2863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/>
                <w:szCs w:val="22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Исходная фактическая информация по ситуации на рынке розничной торговли лекарственными препаратами, медицинскими изделиями и сопутствующими товарами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ListParagraph"/>
              <w:jc w:val="both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 xml:space="preserve">     </w:t>
            </w:r>
            <w:r>
              <w:rPr/>
              <w:t xml:space="preserve"> </w:t>
            </w:r>
            <w:r>
              <w:rPr>
                <w:rFonts w:ascii="Arial" w:hAnsi="Arial"/>
              </w:rPr>
              <w:t xml:space="preserve">Торговая отрасль в районе характеризуется высокой долей малого бизнеса в общем обороте.  </w:t>
            </w:r>
          </w:p>
          <w:p>
            <w:pPr>
              <w:pStyle w:val="ConsPlusNormal"/>
              <w:ind w:firstLine="283"/>
              <w:jc w:val="both"/>
              <w:rPr>
                <w:highlight w:val="yellow"/>
              </w:rPr>
            </w:pPr>
            <w:r>
              <w:rPr>
                <w:rFonts w:ascii="Arial" w:hAnsi="Arial"/>
              </w:rPr>
              <w:t>Количество торговых объектов в 2019 году составило 5 единиц. Все торговые объекты принадлежат организациям частной формы собственности (5 организаций).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Проблематика ситуации на рынке розничной торговли лекарственными препаратами, медицинскими изделиями и сопутствующими товарами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highlight w:val="yellow"/>
              </w:rPr>
            </w:pPr>
            <w:r>
              <w:rPr>
                <w:rFonts w:ascii="Arial" w:hAnsi="Arial"/>
              </w:rPr>
              <w:t>1. Неравномерное размещение торговых объектов. При достаточно высоких темпах развития сети предприятий потребительского рынка обеспеченность населения торговыми объектами неравномерна по населенным пунктам Вагайского района. Наибольшая обеспеченность торговыми объектами в с.Вагай (5 объектов). В остальных населенных пунктах района нет торговых объектов по продаже лекарственных препаратов.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Создание условий для развития конкуренции на рынке розничной торговли</w:t>
            </w:r>
          </w:p>
        </w:tc>
      </w:tr>
      <w:tr>
        <w:trPr>
          <w:trHeight w:val="159" w:hRule="atLeast"/>
        </w:trPr>
        <w:tc>
          <w:tcPr>
            <w:tcW w:w="31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Цель </w:t>
            </w:r>
          </w:p>
        </w:tc>
        <w:tc>
          <w:tcPr>
            <w:tcW w:w="6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 xml:space="preserve">Мероприятие 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Срок реализации</w:t>
            </w:r>
          </w:p>
        </w:tc>
        <w:tc>
          <w:tcPr>
            <w:tcW w:w="2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Ответственный исполнитель</w:t>
            </w:r>
          </w:p>
        </w:tc>
      </w:tr>
      <w:tr>
        <w:trPr>
          <w:trHeight w:val="159" w:hRule="atLeast"/>
        </w:trPr>
        <w:tc>
          <w:tcPr>
            <w:tcW w:w="31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 w:cs="Times New Roman"/>
                <w:szCs w:val="22"/>
                <w:highlight w:val="yellow"/>
              </w:rPr>
            </w:pPr>
            <w:r>
              <w:rPr>
                <w:rFonts w:ascii="Arial" w:hAnsi="Arial"/>
                <w:szCs w:val="22"/>
              </w:rPr>
              <w:t xml:space="preserve">Содействие развитию конкуренции на рынке лекарственных препаратов, повышение экономической и территориальной доступности медицинских товаров </w:t>
            </w:r>
          </w:p>
        </w:tc>
        <w:tc>
          <w:tcPr>
            <w:tcW w:w="6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Формирование и ведение торгового реестра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постоянно</w:t>
            </w:r>
          </w:p>
        </w:tc>
        <w:tc>
          <w:tcPr>
            <w:tcW w:w="28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Отдел экономики и прогнозирования администрации района</w:t>
            </w:r>
          </w:p>
        </w:tc>
      </w:tr>
      <w:tr>
        <w:trPr>
          <w:trHeight w:val="159" w:hRule="atLeast"/>
        </w:trPr>
        <w:tc>
          <w:tcPr>
            <w:tcW w:w="31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</w:r>
          </w:p>
        </w:tc>
        <w:tc>
          <w:tcPr>
            <w:tcW w:w="6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both"/>
              <w:rPr>
                <w:rFonts w:ascii="Arial" w:hAnsi="Arial" w:cs="Times New Roman"/>
                <w:szCs w:val="22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Осуществление информационно-аналитического наблюдения за состоянием потребительского рынка в муниципальных образованиях района</w:t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постоянно</w:t>
            </w:r>
          </w:p>
        </w:tc>
        <w:tc>
          <w:tcPr>
            <w:tcW w:w="286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 w:cs="Times New Roman"/>
                <w:szCs w:val="22"/>
              </w:rPr>
            </w:pPr>
            <w:r>
              <w:rPr>
                <w:rFonts w:cs="Times New Roman" w:ascii="Arial" w:hAnsi="Arial"/>
                <w:szCs w:val="22"/>
              </w:rPr>
            </w:r>
          </w:p>
        </w:tc>
      </w:tr>
      <w:tr>
        <w:trPr>
          <w:trHeight w:val="159" w:hRule="atLeast"/>
        </w:trPr>
        <w:tc>
          <w:tcPr>
            <w:tcW w:w="314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</w:r>
          </w:p>
        </w:tc>
        <w:tc>
          <w:tcPr>
            <w:tcW w:w="6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Cs w:val="22"/>
              </w:rPr>
              <w:t>Проведение анализа обеспеченности населения торговыми объектами</w:t>
            </w:r>
          </w:p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Arial" w:hAnsi="Arial"/>
                <w:szCs w:val="22"/>
              </w:rPr>
              <w:t>ежеквартально</w:t>
            </w:r>
          </w:p>
        </w:tc>
        <w:tc>
          <w:tcPr>
            <w:tcW w:w="286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 w:cs="Times New Roman"/>
                <w:szCs w:val="22"/>
              </w:rPr>
            </w:pPr>
            <w:r>
              <w:rPr>
                <w:rFonts w:cs="Times New Roman" w:ascii="Arial" w:hAnsi="Arial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lang w:eastAsia="ru-RU"/>
        </w:rPr>
      </w:pPr>
      <w:r>
        <w:rPr>
          <w:rFonts w:ascii="Arial" w:hAnsi="Arial"/>
          <w:lang w:eastAsia="ru-RU"/>
        </w:rPr>
      </w:r>
    </w:p>
    <w:tbl>
      <w:tblPr>
        <w:tblW w:w="14291" w:type="dxa"/>
        <w:jc w:val="left"/>
        <w:tblInd w:w="63" w:type="dxa"/>
        <w:tblCellMar>
          <w:top w:w="0" w:type="dxa"/>
          <w:left w:w="5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664"/>
        <w:gridCol w:w="1402"/>
        <w:gridCol w:w="1274"/>
        <w:gridCol w:w="1272"/>
        <w:gridCol w:w="1362"/>
        <w:gridCol w:w="1316"/>
      </w:tblGrid>
      <w:tr>
        <w:trPr>
          <w:trHeight w:val="726" w:hRule="atLeast"/>
        </w:trPr>
        <w:tc>
          <w:tcPr>
            <w:tcW w:w="7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cs="Arial" w:ascii="Arial" w:hAnsi="Arial"/>
                <w:lang w:eastAsia="ru-RU"/>
              </w:rPr>
            </w:r>
          </w:p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  <w:r>
              <w:rPr>
                <w:rFonts w:cs="Arial" w:ascii="Arial" w:hAnsi="Arial"/>
                <w:lang w:eastAsia="ru-RU"/>
              </w:rPr>
              <w:t>Наименование контрольного показателя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  <w:r>
              <w:rPr>
                <w:rFonts w:cs="Arial" w:ascii="Arial" w:hAnsi="Arial"/>
                <w:lang w:eastAsia="ru-RU"/>
              </w:rPr>
              <w:t>2018г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  <w:r>
              <w:rPr>
                <w:rFonts w:cs="Arial" w:ascii="Arial" w:hAnsi="Arial"/>
                <w:lang w:eastAsia="ru-RU"/>
              </w:rPr>
              <w:t>2019г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  <w:r>
              <w:rPr>
                <w:rFonts w:cs="Arial" w:ascii="Arial" w:hAnsi="Arial"/>
                <w:lang w:eastAsia="ru-RU"/>
              </w:rPr>
              <w:t>2020г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2021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2022</w:t>
            </w:r>
          </w:p>
        </w:tc>
      </w:tr>
      <w:tr>
        <w:trPr>
          <w:trHeight w:val="635" w:hRule="atLeast"/>
        </w:trPr>
        <w:tc>
          <w:tcPr>
            <w:tcW w:w="76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cs="Arial" w:ascii="Arial" w:hAnsi="Arial"/>
                <w:lang w:eastAsia="ru-RU"/>
              </w:rPr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факт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факт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план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план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план</w:t>
            </w:r>
          </w:p>
        </w:tc>
      </w:tr>
      <w:tr>
        <w:trPr/>
        <w:tc>
          <w:tcPr>
            <w:tcW w:w="7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товарами, %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100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100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100</w:t>
            </w:r>
          </w:p>
        </w:tc>
        <w:tc>
          <w:tcPr>
            <w:tcW w:w="13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cs="Arial" w:ascii="Arial" w:hAnsi="Arial"/>
              </w:rPr>
              <w:t>100</w:t>
            </w:r>
          </w:p>
        </w:tc>
        <w:tc>
          <w:tcPr>
            <w:tcW w:w="1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Normal"/>
        <w:jc w:val="center"/>
        <w:rPr>
          <w:b/>
          <w:b/>
          <w:highlight w:val="yellow"/>
        </w:rPr>
      </w:pPr>
      <w:r>
        <w:rPr>
          <w:rFonts w:ascii="Times New Roman" w:hAnsi="Times New Roman"/>
          <w:b/>
          <w:sz w:val="24"/>
          <w:szCs w:val="24"/>
        </w:rPr>
        <w:t>Рынок социальных услуг</w:t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093"/>
        <w:gridCol w:w="6176"/>
        <w:gridCol w:w="2196"/>
        <w:gridCol w:w="2821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cs="Arial" w:ascii="Arial" w:hAnsi="Arial"/>
                <w:szCs w:val="22"/>
              </w:rPr>
              <w:t>Исходная фактическая информация по ситуации на рынке социальных услуг в Вагайском муниципальном районе</w:t>
            </w:r>
          </w:p>
        </w:tc>
      </w:tr>
      <w:tr>
        <w:trPr>
          <w:trHeight w:val="1951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На территории Вагайского муниципального района социальные услуги населению оказывает муниципальное учреждение – МАУ «Комплексный центр социального обслуживания населения Вагайского района». Социальные услуги включают в себя: социальное обслуживание на дому, полустационарное, срочное социальное обслуживание и социально-консультативную помощь. Одним из важных направлений социального обслуживания является реабилитация инвалидов и детей – инвалидов. </w:t>
            </w:r>
            <w:r>
              <w:rPr>
                <w:rFonts w:cs="Arial" w:ascii="Arial" w:hAnsi="Arial"/>
                <w:color w:val="000000"/>
              </w:rPr>
              <w:t>При поддержке МАУ «КЦСОН Вагайского района» была создана Автономная некоммерческая организация Вагайского района «Центр развития и реабилитации «Виктория» (СОНКО).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Проблематика ситуации на рынке социальных услуг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Организации, оказывающие социальные услуги населению, расположены в с.Вагай. Для оказания услуг в других населенных пунктах района осуществляются выездные мероприятия. Для более полного охвата населения и предоставления широкого спектра социальных услуг необходимо увеличение количества организаций негосударственной формы собственности, расширение спектра услуг действующих организаций. 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развития конкуренции на рынке социальных услуг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59" w:hRule="atLeast"/>
        </w:trPr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791" w:hRule="atLeast"/>
        </w:trPr>
        <w:tc>
          <w:tcPr>
            <w:tcW w:w="30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социальных услуг</w:t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увеличения доли негосударственных организации социального обслуживания и дальнейшего их развития </w:t>
            </w:r>
          </w:p>
        </w:tc>
        <w:tc>
          <w:tcPr>
            <w:tcW w:w="21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8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Структурные подразделения администрации Вагайского муниципального района по направлениям своей деятельности</w:t>
            </w:r>
          </w:p>
        </w:tc>
      </w:tr>
    </w:tbl>
    <w:p>
      <w:pPr>
        <w:pStyle w:val="Normal"/>
        <w:spacing w:before="0" w:after="0"/>
        <w:rPr>
          <w:vanish/>
        </w:rPr>
      </w:pPr>
      <w:r>
        <w:rPr>
          <w:vanish/>
        </w:rPr>
      </w:r>
    </w:p>
    <w:p>
      <w:pPr>
        <w:pStyle w:val="Normal"/>
        <w:rPr/>
      </w:pPr>
      <w:r>
        <w:rPr/>
      </w:r>
    </w:p>
    <w:tbl>
      <w:tblPr>
        <w:tblpPr w:bottomFromText="0" w:horzAnchor="margin" w:leftFromText="180" w:rightFromText="180" w:tblpX="0" w:tblpY="4304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829"/>
        <w:gridCol w:w="1340"/>
        <w:gridCol w:w="1243"/>
        <w:gridCol w:w="1377"/>
        <w:gridCol w:w="1243"/>
        <w:gridCol w:w="1254"/>
      </w:tblGrid>
      <w:tr>
        <w:trPr>
          <w:trHeight w:val="381" w:hRule="atLeast"/>
        </w:trPr>
        <w:tc>
          <w:tcPr>
            <w:tcW w:w="78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82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7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негосударственных организаций социального обслуживания, предоставляющих социальные услуги, %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/>
          <w:sz w:val="24"/>
          <w:szCs w:val="24"/>
        </w:rPr>
        <w:t>Рынок ритуальных услуг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4287"/>
      </w:tblGrid>
      <w:tr>
        <w:trPr>
          <w:trHeight w:val="159" w:hRule="atLeast"/>
        </w:trPr>
        <w:tc>
          <w:tcPr>
            <w:tcW w:w="14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ритуальных услуг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территории Вагайского муниципального района ритуальные услуги населению оказывают две частные организации и МУП «Ремжилстройсервис».  Одна частная организация в 2020 году готовит документы для организации специализированной службы  оказания услуг по гарантированному перечню.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0" w:tblpY="1819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489"/>
        <w:gridCol w:w="1381"/>
        <w:gridCol w:w="1388"/>
        <w:gridCol w:w="1381"/>
        <w:gridCol w:w="1247"/>
        <w:gridCol w:w="1400"/>
      </w:tblGrid>
      <w:tr>
        <w:trPr>
          <w:trHeight w:val="381" w:hRule="atLeast"/>
        </w:trPr>
        <w:tc>
          <w:tcPr>
            <w:tcW w:w="748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48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7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в сфере ритуальных услуг, %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3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67</w:t>
            </w:r>
          </w:p>
        </w:tc>
      </w:tr>
    </w:tbl>
    <w:p>
      <w:pPr>
        <w:pStyle w:val="ConsPlusNormal"/>
        <w:numPr>
          <w:ilvl w:val="0"/>
          <w:numId w:val="0"/>
        </w:numPr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оказания услуг по перевозке пассажиров и багажа.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101"/>
        <w:gridCol w:w="6204"/>
        <w:gridCol w:w="2206"/>
        <w:gridCol w:w="2775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оказания услуг по перевозке пассажиров и багажа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территории Вагайского муниципального района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услуги по перевозке пассажиров автомобильным транспортом по муниципальным маршрутам регулярных перевозок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оказываются исполнителем, выбранным по результатам проведения конкурсных процедур. В конкурсной процедуре победил ОАО «ВАГАЙ ПАССАЖИРАВТОТРАНС». </w:t>
            </w:r>
            <w:r>
              <w:rPr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ОАО «ВАГАЙ ПАССАЖИРАВТОТРАНС» имеет в наличие необходимое количество транспортных средств, квалифицированные трудовые ресурсы для оказания услуг по перевозке пассажиров и багажа по внутримуниципальным и межмуниципальным маршрутам регулярных перевозок.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Услуги по перевозке пассажиров и багажа легковым такси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района оказываются индивидуальными предпринимателями. Разрешения на данный вид перевозок индивидуальные предприниматели получают в офисах МФЦ. По состоянию на 01.01.2020 года на территории района услуги по перевозке пассажиров и багажа легковым такси оказывали 8 предпринимателей. 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Проблематика ситуации на рынке оказания услуг по перевозке пассажиров и багажа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дальнейшее развитие конкуренции на рынке оказания услуг по перевозке пассажиров и багажа путем привлечения для участия в конкурсных процедурах новых перевозчиков.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оказания услуг по перевозке пассажиров и багажа </w:t>
            </w:r>
          </w:p>
        </w:tc>
      </w:tr>
      <w:tr>
        <w:trPr>
          <w:trHeight w:val="159" w:hRule="atLeast"/>
        </w:trPr>
        <w:tc>
          <w:tcPr>
            <w:tcW w:w="3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оказания услуг по перевозке пассажиров и багажа</w:t>
            </w:r>
          </w:p>
        </w:tc>
        <w:tc>
          <w:tcPr>
            <w:tcW w:w="6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увеличения количества участников конкурсных процедур по оказанию услуг по перевозке пассажиров и багажа путем информирования потенциальных участников. </w:t>
            </w:r>
          </w:p>
        </w:tc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Постоянно при проведении конкурсных процедур</w:t>
            </w:r>
          </w:p>
        </w:tc>
        <w:tc>
          <w:tcPr>
            <w:tcW w:w="27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 и прогнозирования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0" w:tblpY="3104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830"/>
        <w:gridCol w:w="1203"/>
        <w:gridCol w:w="1243"/>
        <w:gridCol w:w="1377"/>
        <w:gridCol w:w="1243"/>
        <w:gridCol w:w="1390"/>
      </w:tblGrid>
      <w:tr>
        <w:trPr>
          <w:trHeight w:val="381" w:hRule="atLeast"/>
        </w:trPr>
        <w:tc>
          <w:tcPr>
            <w:tcW w:w="78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8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976" w:hRule="atLeast"/>
        </w:trPr>
        <w:tc>
          <w:tcPr>
            <w:tcW w:w="7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услуг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%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  <w:tr>
        <w:trPr>
          <w:trHeight w:val="571" w:hRule="atLeast"/>
        </w:trPr>
        <w:tc>
          <w:tcPr>
            <w:tcW w:w="7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в сфере оказания услуг по перевозке пассажиров и багажа легковым такси, %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оказания услуг по ремонту автотранспортных средств.</w:t>
      </w:r>
    </w:p>
    <w:p>
      <w:pPr>
        <w:pStyle w:val="ConsPlusNormal"/>
        <w:numPr>
          <w:ilvl w:val="0"/>
          <w:numId w:val="0"/>
        </w:numPr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101"/>
        <w:gridCol w:w="6204"/>
        <w:gridCol w:w="1923"/>
        <w:gridCol w:w="3058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оказания услуг по ремонту автотранспортных средств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территории Вагайского муниципального района услуги по ремонту и обслуживанию транспортных средств оказывают 5 субъектов малого предпринимательства. Все они расположены в с.Вагай. В основном оказываются услуги по ремонту и техническому обслуживанию легковых автомобилей, шиномонтажу, услуги мойки легковых автомобилей. 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Проблематика ситуации на рынке оказания услуг по ремонту автотранспортных средств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территории района только одна организация (ООО «Татьяна») оказывает услуги по ремонту грузовых автомобилей. Нет СТО, где можно сделать диагностику дизельных двигателей. Всего 1 предприниматель оказывает услуги по кузовному ремонту автомобилей, хотя спрос на данные услуги имеется.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оказания услуг по ремонту автотранспортных средств </w:t>
            </w:r>
          </w:p>
        </w:tc>
      </w:tr>
      <w:tr>
        <w:trPr>
          <w:trHeight w:val="159" w:hRule="atLeast"/>
        </w:trPr>
        <w:tc>
          <w:tcPr>
            <w:tcW w:w="3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0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оказания услуг по ремонту автотранспортных средств</w:t>
            </w:r>
          </w:p>
        </w:tc>
        <w:tc>
          <w:tcPr>
            <w:tcW w:w="6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расширения и модернизации действующих СТО путем вовлечения их в программы поддержки СМП. Содействие открытию новых СТО. </w:t>
            </w:r>
          </w:p>
        </w:tc>
        <w:tc>
          <w:tcPr>
            <w:tcW w:w="1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 и прогнозирования администрации Вагайского муниципального района, структурные подразделения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0" w:tblpY="4785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830"/>
        <w:gridCol w:w="1203"/>
        <w:gridCol w:w="1243"/>
        <w:gridCol w:w="1377"/>
        <w:gridCol w:w="1243"/>
        <w:gridCol w:w="1390"/>
      </w:tblGrid>
      <w:tr>
        <w:trPr>
          <w:trHeight w:val="381" w:hRule="atLeast"/>
        </w:trPr>
        <w:tc>
          <w:tcPr>
            <w:tcW w:w="783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83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7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в сфере оказания услуг по ремонту автотранспортных средств, %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жилищного строительства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101"/>
        <w:gridCol w:w="6204"/>
        <w:gridCol w:w="1923"/>
        <w:gridCol w:w="3058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жилищного строительства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территории Вагайского муниципального района 1 строительная организация, осуществляющая строительство жилых домов ООО «Авангард» Строительство многоквартирных жилых домов, ижс - также осуществляют частные подрядные организации из других районов.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Проблематика ситуации на рынке жилищного строительства 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развития конкуренции на рынке жилищного строительства необходимо создание на территории района строительной организации, способной выполнять работы по строительству многоквартирных жилых домов.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жилищного строительства </w:t>
            </w:r>
          </w:p>
        </w:tc>
      </w:tr>
      <w:tr>
        <w:trPr>
          <w:trHeight w:val="159" w:hRule="atLeast"/>
        </w:trPr>
        <w:tc>
          <w:tcPr>
            <w:tcW w:w="3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0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жилищного строительства</w:t>
            </w:r>
          </w:p>
        </w:tc>
        <w:tc>
          <w:tcPr>
            <w:tcW w:w="62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Работа с местными подрядными организациями. Создание условий для модернизации и расширения организаций путем вовлечения их в программы поддержки СМП.</w:t>
            </w:r>
          </w:p>
        </w:tc>
        <w:tc>
          <w:tcPr>
            <w:tcW w:w="19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ЖКХ, отдел экономики и прогнозирования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0" w:tblpY="4304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832"/>
        <w:gridCol w:w="1340"/>
        <w:gridCol w:w="1238"/>
        <w:gridCol w:w="1243"/>
        <w:gridCol w:w="1382"/>
        <w:gridCol w:w="1251"/>
      </w:tblGrid>
      <w:tr>
        <w:trPr>
          <w:trHeight w:val="381" w:hRule="atLeast"/>
        </w:trPr>
        <w:tc>
          <w:tcPr>
            <w:tcW w:w="78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83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78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в сфере жилищного строительства, %</w:t>
            </w:r>
          </w:p>
        </w:tc>
        <w:tc>
          <w:tcPr>
            <w:tcW w:w="1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дорожной деятельности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-222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288"/>
        <w:gridCol w:w="6142"/>
        <w:gridCol w:w="2186"/>
        <w:gridCol w:w="2670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дорожной деятельности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38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территории Вагайского муниципального района деятельность по содержанию и ремонту автомобильных дорог в 2018 - 2019 годах осуществляет на основании заключенных контрактов по результатам конкурентных процедур Акционерное общество "Тюменское областное дорожно-эксплуатационное предприятие". На территории района расположен филиал организации – ДРСУ-6. 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дорожной деятельности </w:t>
            </w:r>
          </w:p>
        </w:tc>
      </w:tr>
      <w:tr>
        <w:trPr>
          <w:trHeight w:val="159" w:hRule="atLeast"/>
        </w:trPr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1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дорожной деятельности</w:t>
            </w:r>
          </w:p>
        </w:tc>
        <w:tc>
          <w:tcPr>
            <w:tcW w:w="6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участия в конкурентных закупочных процедурах в сфере дорожной деятельности неограниченного круга подрядных организаций путем размещения информации о закупках на официальном сайте РФ</w:t>
            </w:r>
          </w:p>
        </w:tc>
        <w:tc>
          <w:tcPr>
            <w:tcW w:w="21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6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 и прогнозирования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-160" w:tblpY="3430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8195"/>
        <w:gridCol w:w="1120"/>
        <w:gridCol w:w="1238"/>
        <w:gridCol w:w="1239"/>
        <w:gridCol w:w="1239"/>
        <w:gridCol w:w="1255"/>
      </w:tblGrid>
      <w:tr>
        <w:trPr>
          <w:trHeight w:val="381" w:hRule="atLeast"/>
        </w:trPr>
        <w:tc>
          <w:tcPr>
            <w:tcW w:w="81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819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8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в сфере дорожной деятельности, %</w:t>
            </w:r>
          </w:p>
        </w:tc>
        <w:tc>
          <w:tcPr>
            <w:tcW w:w="1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реализации сельскохозяйственной продукции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-222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318"/>
        <w:gridCol w:w="6202"/>
        <w:gridCol w:w="2206"/>
        <w:gridCol w:w="2560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на рынке реализации сельскохозяйственной продукции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contextualSpacing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территории Вагайского муниципального района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работаю </w:t>
            </w:r>
            <w:r>
              <w:rPr>
                <w:rFonts w:eastAsia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5 сельскохозяйственных предприятий, 11 крестьянских фермерских хозяйств, 8800 ЛПХ. Личные подсобные хозяйства граждан обслуживают 6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сельскохозяйственных потребительских кооперативов </w:t>
            </w:r>
            <w:r>
              <w:rPr>
                <w:rFonts w:eastAsia="Times New Roman" w:ascii="Times New Roman" w:hAnsi="Times New Roman"/>
                <w:color w:val="000000" w:themeColor="text1"/>
                <w:sz w:val="24"/>
                <w:szCs w:val="24"/>
                <w:lang w:eastAsia="ru-RU"/>
              </w:rPr>
              <w:t>и 1</w:t>
            </w:r>
            <w:r>
              <w:rPr>
                <w:rFonts w:eastAsia="Times New Roman"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сельскохозяйственный потребительско-снабженческий кредитный кооператив. </w:t>
            </w:r>
          </w:p>
          <w:p>
            <w:pPr>
              <w:pStyle w:val="Normal"/>
              <w:spacing w:before="0" w:after="200"/>
              <w:contextualSpacing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Кооперативы оказывают услуги по закупу с/х продукции, заготовке сена и дров, вспашке огородов. </w:t>
            </w:r>
          </w:p>
          <w:p>
            <w:pPr>
              <w:pStyle w:val="Normal"/>
              <w:spacing w:before="0" w:after="200"/>
              <w:contextualSpacing/>
              <w:jc w:val="both"/>
              <w:rPr/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ascii="Times New Roman" w:hAnsi="Times New Roman"/>
                <w:sz w:val="24"/>
                <w:szCs w:val="24"/>
                <w:lang w:eastAsia="ru-RU"/>
              </w:rPr>
              <w:t xml:space="preserve">Администрация Вагайского муниципального района выступает организатором муниципальных ярмарок, на которых в том числе и с/х потребительские кооперативы продают свою продукцию населению. Ежегодно проходят 2 крупных ярмарки. 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Создание условий для развития конкуренции на рынке реализации с/х продукции </w:t>
            </w:r>
          </w:p>
        </w:tc>
      </w:tr>
      <w:tr>
        <w:trPr>
          <w:trHeight w:val="159" w:hRule="atLeast"/>
        </w:trPr>
        <w:tc>
          <w:tcPr>
            <w:tcW w:w="3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реализации с/х продукции</w:t>
            </w:r>
          </w:p>
        </w:tc>
        <w:tc>
          <w:tcPr>
            <w:tcW w:w="62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Работа с с/х потребительскими кооперативами по получению поддержки в виде субсидий на закупаемую продукцию. 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Продолжение работы по организации с/х ярмарок.</w:t>
            </w:r>
          </w:p>
        </w:tc>
        <w:tc>
          <w:tcPr>
            <w:tcW w:w="2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АПК, отдел экономики и прогнозирования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-160" w:tblpY="3653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8575"/>
        <w:gridCol w:w="1113"/>
        <w:gridCol w:w="1111"/>
        <w:gridCol w:w="1256"/>
        <w:gridCol w:w="1113"/>
        <w:gridCol w:w="1118"/>
      </w:tblGrid>
      <w:tr>
        <w:trPr>
          <w:trHeight w:val="381" w:hRule="atLeast"/>
        </w:trPr>
        <w:tc>
          <w:tcPr>
            <w:tcW w:w="85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8575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8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сельскохозяйственных потребительских кооперативов в общем количестве сельхозпредприятий, %</w:t>
            </w:r>
          </w:p>
        </w:tc>
        <w:tc>
          <w:tcPr>
            <w:tcW w:w="1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/>
          <w:sz w:val="24"/>
          <w:szCs w:val="24"/>
        </w:rPr>
        <w:t>Рынок вылова водных биоресурсов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  <w:highlight w:val="yellow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134"/>
        <w:gridCol w:w="6262"/>
        <w:gridCol w:w="2229"/>
        <w:gridCol w:w="2661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Исходная фактическая информация по ситуации на рынке вылова водных биоресурсов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территории Вагайского муниципального района работают две организации, занимающиеся выловом водных биоресурсов: ООО «Заря и ИП Каусаров А.У.. Общий объем вылова в 2019 году составил 42 тонны. </w:t>
            </w:r>
          </w:p>
          <w:p>
            <w:pPr>
              <w:pStyle w:val="Normal"/>
              <w:spacing w:before="0" w:after="200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trike/>
                <w:sz w:val="24"/>
                <w:szCs w:val="24"/>
              </w:rPr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Создание условий для развития конкуренции на рынке вылова водных биоресурсов</w:t>
            </w:r>
          </w:p>
        </w:tc>
      </w:tr>
      <w:tr>
        <w:trPr>
          <w:trHeight w:val="159" w:hRule="atLeast"/>
        </w:trPr>
        <w:tc>
          <w:tcPr>
            <w:tcW w:w="3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6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2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конкуренции на рынке вылова водных биоресурсов</w:t>
            </w:r>
          </w:p>
        </w:tc>
        <w:tc>
          <w:tcPr>
            <w:tcW w:w="6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Организация работы с новыми инвесторами, сопровождение реализации инвестиционных проектов</w:t>
            </w:r>
          </w:p>
        </w:tc>
        <w:tc>
          <w:tcPr>
            <w:tcW w:w="22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Постоянно </w:t>
            </w:r>
          </w:p>
        </w:tc>
        <w:tc>
          <w:tcPr>
            <w:tcW w:w="2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АПК, отдел экономики и прогнозирования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0" w:tblpY="3379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909"/>
        <w:gridCol w:w="1213"/>
        <w:gridCol w:w="1253"/>
        <w:gridCol w:w="1393"/>
        <w:gridCol w:w="1256"/>
        <w:gridCol w:w="1262"/>
      </w:tblGrid>
      <w:tr>
        <w:trPr>
          <w:trHeight w:val="381" w:hRule="atLeast"/>
        </w:trPr>
        <w:tc>
          <w:tcPr>
            <w:tcW w:w="79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90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408" w:hRule="atLeast"/>
        </w:trPr>
        <w:tc>
          <w:tcPr>
            <w:tcW w:w="7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на рынке вылова водных биоресурсов, %</w:t>
            </w:r>
          </w:p>
        </w:tc>
        <w:tc>
          <w:tcPr>
            <w:tcW w:w="12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  <w:highlight w:val="yellow"/>
        </w:rPr>
      </w:pPr>
      <w:r>
        <w:rPr>
          <w:rFonts w:cs="Times New Roman" w:ascii="Times New Roman" w:hAnsi="Times New Roman"/>
          <w:b/>
          <w:sz w:val="24"/>
          <w:szCs w:val="24"/>
        </w:rPr>
        <w:t>Рынок обработки древесины и производства изделий из дерева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087"/>
        <w:gridCol w:w="6176"/>
        <w:gridCol w:w="1973"/>
        <w:gridCol w:w="3050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Исходная фактическая информация по ситуации на рынке обработки древесины и производства изделий из дерева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cs="Arial" w:ascii="Arial" w:hAnsi="Arial"/>
                <w:color w:val="000000"/>
              </w:rPr>
              <w:t xml:space="preserve">В отчетном периоде занимались заготовкой древесины  5 арендаторов леса: малые предприятия, индивидуальные  предприниматели.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Arial" w:hAnsi="Arial"/>
                <w:highlight w:val="yellow"/>
              </w:rPr>
            </w:pPr>
            <w:r>
              <w:rPr>
                <w:rFonts w:cs="Arial" w:ascii="Arial" w:hAnsi="Arial"/>
                <w:color w:val="000000"/>
              </w:rPr>
              <w:tab/>
              <w:t xml:space="preserve">Объем заготовки деловой древесины (по данным Вагайского лесничества) за 2019 год составил 196 тыс. кубических метров,  на 50% выше уровня 2018 года. Производство пиломатериалов возросло на 17% и составляет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Arial" w:hAnsi="Arial"/>
                <w:highlight w:val="yellow"/>
              </w:rPr>
            </w:pPr>
            <w:r>
              <w:rPr>
                <w:rFonts w:cs="Arial" w:ascii="Arial" w:hAnsi="Arial"/>
                <w:color w:val="000000"/>
              </w:rPr>
              <w:t>90 тыс.м3.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развития конкуренции на рынке обработки древесины и производства изделий из дерева</w:t>
            </w:r>
          </w:p>
        </w:tc>
      </w:tr>
      <w:tr>
        <w:trPr>
          <w:trHeight w:val="159" w:hRule="atLeast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9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0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1485" w:hRule="atLeast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развитию конкуренции на рынке обработки древесины и производства изделий из дерева</w:t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работы с новыми инвесторами, сопровождение реализации инвестиционных проектов</w:t>
            </w:r>
          </w:p>
        </w:tc>
        <w:tc>
          <w:tcPr>
            <w:tcW w:w="19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30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экономики и прогнозирования администрации Вагайского муниципального района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margin" w:leftFromText="180" w:rightFromText="180" w:tblpX="0" w:tblpY="1029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829"/>
        <w:gridCol w:w="1203"/>
        <w:gridCol w:w="1243"/>
        <w:gridCol w:w="1376"/>
        <w:gridCol w:w="1243"/>
        <w:gridCol w:w="1392"/>
      </w:tblGrid>
      <w:tr>
        <w:trPr>
          <w:trHeight w:val="381" w:hRule="atLeast"/>
        </w:trPr>
        <w:tc>
          <w:tcPr>
            <w:tcW w:w="78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82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7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Доля организаций частной формы собственности в сфере обработки древесины и производства изделий из дерева, %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Рынок </w:t>
      </w: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благоустройства городской</w:t>
      </w:r>
      <w:r>
        <w:rPr>
          <w:rFonts w:cs="Times New Roman" w:ascii="Times New Roman" w:hAnsi="Times New Roman"/>
          <w:b/>
          <w:sz w:val="24"/>
          <w:szCs w:val="24"/>
        </w:rPr>
        <w:t xml:space="preserve"> среды</w:t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pPr w:bottomFromText="0" w:horzAnchor="text" w:leftFromText="180" w:rightFromText="180" w:tblpX="0" w:tblpY="1" w:topFromText="0" w:vertAnchor="text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087"/>
        <w:gridCol w:w="6176"/>
        <w:gridCol w:w="1973"/>
        <w:gridCol w:w="3050"/>
      </w:tblGrid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Исходная фактическая информация по ситуации на рынке благоустройства городской среды </w:t>
            </w:r>
          </w:p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в Вагайском муниципальном районе</w:t>
            </w:r>
          </w:p>
        </w:tc>
      </w:tr>
      <w:tr>
        <w:trPr>
          <w:trHeight w:val="159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numPr>
                <w:ilvl w:val="0"/>
                <w:numId w:val="0"/>
              </w:numPr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На рынке выполнения работ по благоустройству городской среды на территории Вагайского муниципального района поставщиками услуги являются муниципальные унитарные предприятия и организации частной формы собственности. В 2018 году услуги оказывались двумя муниципальными унитарными предприятиями коммунального комплекса с общим охватом 30.72%. По состоянию на 01.01.2019 года охват составляет 36.94%. На данном рынке присутствуют организации частной формы собственности, которые могли бы оказывать услуги в большем объеме.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numPr>
                <w:ilvl w:val="0"/>
                <w:numId w:val="0"/>
              </w:numPr>
              <w:outlineLvl w:val="1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Проблематика ситуации на рынке «Выполнения работ по благоустройству городской среды».</w:t>
            </w:r>
          </w:p>
          <w:p>
            <w:pPr>
              <w:pStyle w:val="ConsPlusNormal"/>
              <w:numPr>
                <w:ilvl w:val="0"/>
                <w:numId w:val="0"/>
              </w:num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Небольшое присутствие на территории района организаций частных форм собственности, которые могут оказывать услуги выполнения работ по благоустройству городской среды.</w:t>
            </w:r>
          </w:p>
        </w:tc>
      </w:tr>
      <w:tr>
        <w:trPr>
          <w:trHeight w:val="475" w:hRule="atLeast"/>
        </w:trPr>
        <w:tc>
          <w:tcPr>
            <w:tcW w:w="142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numPr>
                <w:ilvl w:val="0"/>
                <w:numId w:val="0"/>
              </w:num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Создание условий для развития конкуренции на рынке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>благоустройства городской среды</w:t>
            </w:r>
          </w:p>
          <w:p>
            <w:pPr>
              <w:pStyle w:val="ConsPlusNormal"/>
              <w:numPr>
                <w:ilvl w:val="0"/>
                <w:numId w:val="0"/>
              </w:numPr>
              <w:outlineLvl w:val="1"/>
              <w:rPr>
                <w:rFonts w:ascii="Times New Roman" w:hAnsi="Times New Roman" w:cs="Times New Roman"/>
                <w:b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r>
          </w:p>
        </w:tc>
      </w:tr>
      <w:tr>
        <w:trPr>
          <w:trHeight w:val="159" w:hRule="atLeast"/>
        </w:trPr>
        <w:tc>
          <w:tcPr>
            <w:tcW w:w="3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9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0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318" w:hRule="atLeast"/>
        </w:trPr>
        <w:tc>
          <w:tcPr>
            <w:tcW w:w="308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2"/>
              <w:spacing w:before="0" w:after="57"/>
              <w:ind w:left="57" w:right="57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Обеспечение удовлетворенности потребителей услугой выполнения работ по благоустройству городской среды на рынке через возможность большего участия организаций частных форм собственности в оказании услуг выполнения работ по благоустройству городской среды на территории района</w:t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2"/>
              <w:spacing w:before="0" w:after="57"/>
              <w:ind w:left="57" w:right="57" w:hang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</w:t>
            </w:r>
          </w:p>
          <w:p>
            <w:pPr>
              <w:pStyle w:val="Normal"/>
              <w:spacing w:lineRule="auto" w:line="288" w:before="280" w:after="0"/>
              <w:ind w:left="57" w:right="57" w:hanging="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Подготовка информационной базы об организациях, осуществляющих деятельность на рынке благоустройства городской среды, включая информацию о наличии хозяйствующих субъектов с государственным или муниципальным участием, находящихся на данном рынке</w:t>
            </w:r>
          </w:p>
        </w:tc>
        <w:tc>
          <w:tcPr>
            <w:tcW w:w="19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0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по управлению территорией</w:t>
            </w:r>
          </w:p>
        </w:tc>
      </w:tr>
      <w:tr>
        <w:trPr>
          <w:trHeight w:val="1485" w:hRule="atLeast"/>
        </w:trPr>
        <w:tc>
          <w:tcPr>
            <w:tcW w:w="308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2"/>
              <w:spacing w:before="0" w:after="57"/>
              <w:ind w:left="57" w:right="57" w:hang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61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Style22"/>
              <w:spacing w:before="0" w:after="57"/>
              <w:ind w:left="57" w:right="57" w:hanging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</w:t>
            </w:r>
          </w:p>
          <w:p>
            <w:pPr>
              <w:pStyle w:val="Normal"/>
              <w:spacing w:lineRule="auto" w:line="288" w:before="280" w:after="0"/>
              <w:ind w:left="57" w:right="57" w:hanging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eastAsia="ru-RU"/>
              </w:rPr>
              <w:t>Сокращение количества унитарных предприятий, оказывающих услуги по благоустройству городской среды</w:t>
            </w:r>
          </w:p>
        </w:tc>
        <w:tc>
          <w:tcPr>
            <w:tcW w:w="19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0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Отдел по управлению территорией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tbl>
      <w:tblPr>
        <w:tblpPr w:bottomFromText="0" w:horzAnchor="margin" w:leftFromText="180" w:rightFromText="180" w:tblpX="0" w:tblpY="3739" w:topFromText="0" w:vertAnchor="page"/>
        <w:tblW w:w="14287" w:type="dxa"/>
        <w:jc w:val="left"/>
        <w:tblInd w:w="52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7849"/>
        <w:gridCol w:w="1203"/>
        <w:gridCol w:w="1243"/>
        <w:gridCol w:w="1243"/>
        <w:gridCol w:w="1514"/>
        <w:gridCol w:w="1234"/>
      </w:tblGrid>
      <w:tr>
        <w:trPr>
          <w:trHeight w:val="381" w:hRule="atLeast"/>
        </w:trPr>
        <w:tc>
          <w:tcPr>
            <w:tcW w:w="784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Наименование контрольного показателя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2022 год</w:t>
            </w:r>
          </w:p>
        </w:tc>
      </w:tr>
      <w:tr>
        <w:trPr>
          <w:trHeight w:val="152" w:hRule="atLeast"/>
        </w:trPr>
        <w:tc>
          <w:tcPr>
            <w:tcW w:w="784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ind w:left="-62" w:hanging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</w:tr>
      <w:tr>
        <w:trPr>
          <w:trHeight w:val="571" w:hRule="atLeast"/>
        </w:trPr>
        <w:tc>
          <w:tcPr>
            <w:tcW w:w="7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1.Доля организаций частной формы собственности в сфере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выполнения работ по благоустройству городской среды,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</w:tbl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>
          <w:rFonts w:ascii="Arial" w:hAnsi="Arial" w:cs="Times New Roman"/>
          <w:b/>
          <w:b/>
          <w:szCs w:val="22"/>
        </w:rPr>
      </w:pPr>
      <w:r>
        <w:rPr>
          <w:rFonts w:cs="Times New Roman" w:ascii="Arial" w:hAnsi="Arial"/>
          <w:b/>
          <w:szCs w:val="22"/>
        </w:rPr>
      </w:r>
    </w:p>
    <w:p>
      <w:pPr>
        <w:pStyle w:val="ConsPlusNormal"/>
        <w:numPr>
          <w:ilvl w:val="0"/>
          <w:numId w:val="0"/>
        </w:numPr>
        <w:jc w:val="center"/>
        <w:outlineLvl w:val="1"/>
        <w:rPr/>
      </w:pPr>
      <w:r>
        <w:rPr>
          <w:rFonts w:ascii="Arial" w:hAnsi="Arial"/>
          <w:b/>
          <w:sz w:val="22"/>
          <w:szCs w:val="22"/>
          <w:lang w:val="en-US"/>
        </w:rPr>
        <w:t>I</w:t>
      </w:r>
      <w:r>
        <w:rPr>
          <w:rFonts w:ascii="Arial" w:hAnsi="Arial"/>
          <w:b/>
          <w:sz w:val="22"/>
          <w:szCs w:val="22"/>
        </w:rPr>
        <w:t>I</w:t>
      </w:r>
      <w:r>
        <w:rPr>
          <w:rFonts w:cs="Times New Roman" w:ascii="Arial" w:hAnsi="Arial"/>
          <w:b/>
          <w:sz w:val="22"/>
          <w:szCs w:val="22"/>
        </w:rPr>
        <w:t>. Системные мероприятия по развитию конкурентной среды</w:t>
      </w:r>
    </w:p>
    <w:p>
      <w:pPr>
        <w:pStyle w:val="ConsPlusNormal"/>
        <w:jc w:val="center"/>
        <w:rPr/>
      </w:pPr>
      <w:bookmarkStart w:id="1" w:name="__DdeLink__2889_183570662"/>
      <w:bookmarkEnd w:id="1"/>
      <w:r>
        <w:rPr>
          <w:rFonts w:cs="Times New Roman" w:ascii="Arial" w:hAnsi="Arial"/>
          <w:b/>
          <w:sz w:val="22"/>
          <w:szCs w:val="22"/>
        </w:rPr>
        <w:t>в Вагайском муниципальном районе</w:t>
      </w:r>
    </w:p>
    <w:p>
      <w:pPr>
        <w:pStyle w:val="ConsPlusNormal"/>
        <w:jc w:val="both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tbl>
      <w:tblPr>
        <w:tblW w:w="14601" w:type="dxa"/>
        <w:jc w:val="left"/>
        <w:tblInd w:w="56" w:type="dxa"/>
        <w:tblCellMar>
          <w:top w:w="102" w:type="dxa"/>
          <w:left w:w="5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16"/>
        <w:gridCol w:w="1"/>
        <w:gridCol w:w="8807"/>
        <w:gridCol w:w="3"/>
        <w:gridCol w:w="1701"/>
        <w:gridCol w:w="6"/>
        <w:gridCol w:w="3666"/>
      </w:tblGrid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N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Направления развития конкурентной среды</w:t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b/>
                <w:sz w:val="22"/>
                <w:szCs w:val="22"/>
              </w:rPr>
              <w:t>Развитие конкуренции при осуществлении процедур муниципальных закупок, а также закупок хозяйствующих субъектов, доля муниципального образования в которых составляет более 50 процентов, в том числе за счет расширения участия в указанных процедурах субъектов малого предпринимательства</w:t>
            </w:r>
          </w:p>
          <w:p>
            <w:pPr>
              <w:pStyle w:val="ConsPlusNormal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Цель: Повышение открытости и прозрачности закупочных процедур, установление единых правил осуществления закупок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Исходная фактическая информация по ситуации при осуществлении процедур муниципальных закупок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Развитие конкуренции в сфере муниципальных закупок в Вагайском районе находится на постоянном контроле уполномоченного органа. С целью централизации закупок в   Вагайском районе уполномоченным органом на определение поставщиков (подрядчиков, исполнителей) для заказчиков Вагайского района определен  отдел экономики и прогнозирования администрации  Вагайского муниципального района.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Ежеквартально проводится мониторинг эффективности закупок товаров, работ, услуг для обеспечения нужд Вагайского района. Результаты мониторинга позволяет своевременно, оперативно выявлять резервы для повышения их эффективности.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Проблематика ситуации при осуществлении процедур муниципальных закупок</w:t>
            </w:r>
          </w:p>
        </w:tc>
      </w:tr>
      <w:tr>
        <w:trPr>
          <w:trHeight w:val="491" w:hRule="atLeast"/>
        </w:trPr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Низкая активность участников муниципальных закупок. Недостаточное качество подготовки участниками заявок на участие в закупках товаров, работ, услуг, которое негативно влияет на эффективность муниципальных закупок.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Целевые показатели: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Доля закупок у субъектов малого предпринимательства (включая закупки, участниками которых являются любые лица, в том числе субъекты малого предпринимательства, закупки, участниками которых являются только субъекты малого предпринимательства и закупки, в отношении участников которых заказчиком устанавливается требование о привлечении к исполнению договора субподрядчиков (соисполнителей) из числа субъектов малого предпринимательства) в общем годовом стоимостном объеме закупок: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2018 год (план) - 20%, факт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2019 год (план) -20%,  факт 16%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2020год (план) - 20%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2021год (план) - 20%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2022год (план)-20%</w:t>
            </w:r>
          </w:p>
        </w:tc>
      </w:tr>
      <w:tr>
        <w:trPr>
          <w:trHeight w:val="496" w:hRule="atLeast"/>
        </w:trPr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Среднее число участников конкурентных процедур определения поставщиков (подрядчиков, исполнителей) при осуществлении закупок для обеспечения муниципальных нужд: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2018 год (факт) - 2,6, факт- 2,7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2019 год (факт) - 2,6 факт -2,8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2018 год (план) - 2,6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2019 год (план) - 2,6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2020 год (план) - 2,6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Удельный вес конкурентных закупок в общем объеме закупок,%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2018 год (план) – 7%, (факт) –7 %,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2019 год (план) – 7%, факт 7%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2020 год (план) – 7%,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</w:rPr>
              <w:t>2021 год (план) – 7%,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2022 год (план) – 7%</w:t>
            </w:r>
          </w:p>
          <w:p>
            <w:pPr>
              <w:pStyle w:val="ConsPlusNormal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Срок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Исполнитель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Размещение информации об определении поставщика (подрядчика, исполнителя) в информационно-телекоммуникационной сети Интернет в соответствии с действующим законодательством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Arial" w:hAnsi="Arial"/>
                <w:sz w:val="22"/>
                <w:szCs w:val="22"/>
              </w:rPr>
              <w:t xml:space="preserve">отдел экономики и прогнозирования администрации Вагайского 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Arial" w:hAnsi="Arial"/>
                <w:sz w:val="22"/>
                <w:szCs w:val="22"/>
              </w:rPr>
              <w:t>муниципального района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Мониторинг эффективности закупок на основании показателей, утвержденных Методикой оценки эффективности осуществления закупок товаров, работ, услуг для обеспечения нужд Тюменской области (подготовка информации и направление в Управление государственных закупок Тюменской области)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Ежеквартально не позднее 15 числа месяца, следующего за отчетным кварталом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Организация информирования поставщиков (подрядчиков, исполнителей) о применении, разработанных Управлением государственных закупок Тюменской области методических рекомендациях для исключения типичных ошибок при подготовке заявок на участие, влекущих отклонение. Анализ ошибок заявок участников закупок с целью их обобщения и выявления наиболее распространенных для консультирования участников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/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b/>
                <w:sz w:val="22"/>
                <w:szCs w:val="22"/>
                <w:lang w:eastAsia="ru-RU"/>
              </w:rPr>
              <w:t>Обеспечение равных условий доступа к информации о реализации муниципального имущества  Вагайского муниципального района, а также ресурсов всех видов, находящихся в муниципальной собственности  Вагайского муниципального района</w:t>
            </w:r>
          </w:p>
          <w:p>
            <w:pPr>
              <w:pStyle w:val="ConsPlusNormal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sPlusNormal"/>
              <w:spacing w:lineRule="auto" w:line="24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Цель: Информирование потенциальных участников торгов</w:t>
            </w:r>
          </w:p>
        </w:tc>
      </w:tr>
      <w:tr>
        <w:trPr>
          <w:trHeight w:val="681" w:hRule="atLeast"/>
        </w:trPr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Arial" w:hAnsi="Arial"/>
                <w:sz w:val="22"/>
                <w:szCs w:val="22"/>
              </w:rPr>
              <w:t>Исходная фактическая информация об обеспечении равных условий доступа к информации о реализации муниципального имущества  муниципального района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Информация о реализации муниципального имущества Вагайского муниципального района размещается на официальном сайте органов местного самоуправления в сети Интернет (https://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vagai</w:t>
            </w:r>
            <w:r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admtyumen</w:t>
            </w:r>
            <w:r>
              <w:rPr>
                <w:rFonts w:ascii="Arial" w:hAnsi="Arial"/>
                <w:sz w:val="22"/>
                <w:szCs w:val="22"/>
              </w:rPr>
              <w:t>.ru), на официальном сайте Российской Федерации в сети Интернет, определенном Правительством Российской Федерации для размещения информации о проведении торгов (www.torgi.gov.ru).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По состоянию на  01.01.2020 размещалась следующая информация: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 xml:space="preserve">• </w:t>
            </w:r>
            <w:r>
              <w:rPr>
                <w:rFonts w:ascii="Arial" w:hAnsi="Arial"/>
                <w:sz w:val="22"/>
                <w:szCs w:val="22"/>
              </w:rPr>
              <w:t xml:space="preserve">прогнозный план приватизации и изменения  </w:t>
            </w:r>
            <w:r>
              <w:rPr>
                <w:rFonts w:ascii="Arial" w:hAnsi="Arial"/>
                <w:sz w:val="22"/>
                <w:szCs w:val="22"/>
                <w:lang w:val="ru-RU"/>
              </w:rPr>
              <w:t xml:space="preserve">и дополнения </w:t>
            </w:r>
            <w:r>
              <w:rPr>
                <w:rFonts w:ascii="Arial" w:hAnsi="Arial"/>
                <w:sz w:val="22"/>
                <w:szCs w:val="22"/>
              </w:rPr>
              <w:t>к нему (http://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vagai</w:t>
            </w:r>
            <w:r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admtyumen</w:t>
            </w:r>
            <w:r>
              <w:rPr>
                <w:rFonts w:ascii="Arial" w:hAnsi="Arial"/>
                <w:sz w:val="22"/>
                <w:szCs w:val="22"/>
              </w:rPr>
              <w:t xml:space="preserve">.ru, www.torgi.gov.ru)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 xml:space="preserve">• </w:t>
            </w:r>
            <w:r>
              <w:rPr>
                <w:rFonts w:ascii="Arial" w:hAnsi="Arial"/>
                <w:sz w:val="22"/>
                <w:szCs w:val="22"/>
              </w:rPr>
              <w:t>решения об условиях приватизации и изменения к ним (http://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vagai</w:t>
            </w:r>
            <w:r>
              <w:rPr>
                <w:rFonts w:ascii="Arial" w:hAnsi="Arial"/>
                <w:sz w:val="22"/>
                <w:szCs w:val="22"/>
              </w:rPr>
              <w:t>.</w:t>
            </w:r>
            <w:r>
              <w:rPr>
                <w:rFonts w:ascii="Arial" w:hAnsi="Arial"/>
                <w:sz w:val="22"/>
                <w:szCs w:val="22"/>
                <w:lang w:val="en-US"/>
              </w:rPr>
              <w:t>admtyumen</w:t>
            </w:r>
            <w:r>
              <w:rPr>
                <w:rFonts w:ascii="Arial" w:hAnsi="Arial"/>
                <w:sz w:val="22"/>
                <w:szCs w:val="22"/>
              </w:rPr>
              <w:t xml:space="preserve">.ru /, www.torgi.gov.ru)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 xml:space="preserve">• </w:t>
            </w:r>
            <w:r>
              <w:rPr>
                <w:rFonts w:ascii="Arial" w:hAnsi="Arial"/>
                <w:sz w:val="22"/>
                <w:szCs w:val="22"/>
              </w:rPr>
              <w:t xml:space="preserve">извещения о проведении торгов (www.torgi.gov.ru) </w:t>
            </w:r>
          </w:p>
          <w:p>
            <w:pPr>
              <w:pStyle w:val="ConsPlusNormal"/>
              <w:spacing w:lineRule="auto" w:line="240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Для потенциальных покупателей доступ к размещаемой информации о продаже муниципального имущества на официальных сайтах не ограничен.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Проблематика ситуации при обеспечении равных условий доступа к информации о реализации муниципального имущества </w:t>
            </w:r>
            <w:r>
              <w:rPr>
                <w:rFonts w:cs="Times New Roman" w:ascii="Arial" w:hAnsi="Arial"/>
                <w:sz w:val="22"/>
                <w:szCs w:val="22"/>
                <w:lang w:val="ru-RU"/>
              </w:rPr>
              <w:t>Вагайского</w:t>
            </w:r>
            <w:r>
              <w:rPr>
                <w:rFonts w:cs="Times New Roman" w:ascii="Arial" w:hAnsi="Arial"/>
                <w:sz w:val="22"/>
                <w:szCs w:val="22"/>
              </w:rPr>
              <w:t xml:space="preserve"> муниципльного района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Arial" w:hAnsi="Arial"/>
                <w:sz w:val="22"/>
                <w:szCs w:val="22"/>
              </w:rPr>
              <w:t xml:space="preserve">     </w:t>
            </w:r>
            <w:r>
              <w:rPr>
                <w:rFonts w:ascii="Arial" w:hAnsi="Arial"/>
                <w:sz w:val="22"/>
                <w:szCs w:val="22"/>
              </w:rPr>
              <w:t>Своевременное размещение актуальной информации</w:t>
            </w:r>
          </w:p>
          <w:p>
            <w:pPr>
              <w:pStyle w:val="ConsPlusNormal"/>
              <w:spacing w:lineRule="auto" w:line="240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Низкая активность хозяйствующих субъектов, населения в процедурах реализации муниципального  имущества.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Контрольное событие:</w:t>
            </w:r>
          </w:p>
          <w:p>
            <w:pPr>
              <w:pStyle w:val="ConsPlusNormal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Наличие размещенной актуальной информации в соответствующих источниках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Срок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Исполнитель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Размещение информации о приватизации объектов, находящихся в муниципальной собственности на официальном сайте Администрации  Вагайского муниципального района в сети Интернет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Управление муниципального имущества, строительства, ЖКХ и земельных отношений</w:t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b/>
                <w:sz w:val="22"/>
                <w:szCs w:val="22"/>
              </w:rPr>
              <w:t>Создание условий для развития конкуренции на рынке строительства</w:t>
            </w:r>
          </w:p>
          <w:p>
            <w:pPr>
              <w:pStyle w:val="ConsPlusNormal"/>
              <w:rPr>
                <w:rFonts w:ascii="Arial" w:hAnsi="Arial" w:cs="Times New Roman"/>
                <w:b/>
                <w:b/>
                <w:sz w:val="22"/>
                <w:szCs w:val="22"/>
              </w:rPr>
            </w:pPr>
            <w:r>
              <w:rPr>
                <w:rFonts w:cs="Times New Roman" w:ascii="Arial" w:hAnsi="Arial"/>
                <w:b/>
                <w:sz w:val="22"/>
                <w:szCs w:val="22"/>
              </w:rPr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Цель: Оптимизация процесса выдачи разрешений на рынке строительства, снижение административных барьеров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Исходная фактическая информация по ситуации при создании условий для развития конкуренции на рынке строительства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В Вагайском муниципальном районе в 2019 году значения показателей по предельному количеству процедур и предельному сроку их прохождения для получения разрешения на строительство эталонного объекта капитального строительства составили 2 процедуры и 24 дня, в том числе: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- подготовка градостроительного плана земельного участка (далее - ГПЗУ), срок выдачи - 17 дней;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- внесение изменений в разрешение на строительство, срок выдачи - 7 дней.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Обеспечена удовлетворенность заявителей качеством предоставления муниципальных услуг путем реализации их предоставления через многофункциональный центр предоставления муниципальных услуг, также обеспечено предоставление в электронном виде подуслуги по выдаче разрешения на ввод объекта в эксплуатацию государственной услуги "Подготовка и выдача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строительства" в Вагайском муниципальном районе через Региональный портал государственных и муниципальных услуг (далее - РПГУ).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Основным направлением по обеспечению предоставления муниципальных услуг в рамках мероприятий, реализация которых содействует развитию конкуренции, является развитие электронных услуг в сфере строительства, а именно перевод предоставления услуг по выдаче ГПЗУ, выдаче разрешений на строительство, разрешений на ввод объектов в эксплуатацию при осуществлении строительства, реконструкции объектов капитального строительства в электронный вид.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Проблематика ситуации при создании условий для развития конкуренции на рынке строительства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Низкая активность юридических и физических лиц в части получения услуг в электронном виде   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Контрольные события:</w:t>
            </w:r>
          </w:p>
        </w:tc>
      </w:tr>
      <w:tr>
        <w:trPr>
          <w:trHeight w:val="411" w:hRule="atLeast"/>
        </w:trPr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Наличие разработанного и утвержденного административного регламента предоставления муниципальной услуги "Подготовка и выдача разрешений на строительство, разрешений на ввод объектов в эксплуатацию"</w:t>
            </w:r>
          </w:p>
        </w:tc>
      </w:tr>
      <w:tr>
        <w:trPr>
          <w:trHeight w:val="411" w:hRule="atLeast"/>
        </w:trPr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ascii="Arial" w:hAnsi="Arial"/>
              </w:rPr>
              <w:t>Целевые показатели: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>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назначения, ед.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2017 год (факт) — 4 ед. 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2019 год (факт)- 4 ед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2018 год(план)  -4 ед.    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>2020 год (факт)-4ед.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>Предельный срок прохождения всех процедур, необходимых для получения разрешения на строительство эталонного объекта капитального  строительства непроизводственного назначения, дни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2017 год (факт) —79. 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2019 год (факт)-56 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2018 год(план)  -56  </w:t>
            </w:r>
          </w:p>
          <w:p>
            <w:pPr>
              <w:pStyle w:val="ConsPlusNormal"/>
              <w:rPr/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2020 год (факт)-56</w:t>
            </w:r>
          </w:p>
          <w:p>
            <w:pPr>
              <w:pStyle w:val="ConsPlusNormal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Срок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Исполнитель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ascii="Arial" w:hAnsi="Arial"/>
              </w:rPr>
              <w:t>Информирование застройщиков о получении услуг в электронном виде, а так же о количестве и сроках процедур в сфере строительства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ascii="Arial" w:hAnsi="Arial"/>
              </w:rPr>
              <w:t>постоянно</w:t>
            </w:r>
          </w:p>
        </w:tc>
        <w:tc>
          <w:tcPr>
            <w:tcW w:w="3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Управление муниципального имущества, строительства, ЖКХ и земельных отношений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Создание условий максимального благоприятствования хозяйствующим субъектам при входе на рынок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Реализация возможности подачи заявления в электронном виде, в том числе с использованием файлового хранилища РПГУ по следующим услугам:</w:t>
            </w:r>
          </w:p>
          <w:p>
            <w:pPr>
              <w:pStyle w:val="ConsPlusNormal"/>
              <w:ind w:left="283" w:hanging="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- получение разрешения на ввод объекта в эксплуатацию;</w:t>
            </w:r>
          </w:p>
          <w:p>
            <w:pPr>
              <w:pStyle w:val="ConsPlusNormal"/>
              <w:ind w:left="283" w:hanging="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- разрешение на строительство объекта капитального строительства;</w:t>
            </w:r>
          </w:p>
          <w:p>
            <w:pPr>
              <w:pStyle w:val="ConsPlusNormal"/>
              <w:ind w:left="283" w:hanging="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- продление срока действия разрешения на строительство;</w:t>
            </w:r>
          </w:p>
          <w:p>
            <w:pPr>
              <w:pStyle w:val="ConsPlusNormal"/>
              <w:ind w:left="283" w:hanging="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- внесение изменений в разрешение на строительство.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Соблюдение требований подачи заявлений в электронном виде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4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Содействие развитию практики применения механизмов муниципально -частного партнерства, в том числе практики заключения концессионных соглашений, а также обеспечение и сохранение целевого использования муниципальных объектов недвижимого имущества в социальной сфере</w:t>
            </w:r>
          </w:p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Цель: Развитие практики муниципально-частного партнерства, повышение эффективности использования муниципального имущества в социальной сфере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при содействии развитию практики применения механизмов муниципально-частного партнерства, в том числе практики заключения концессионных соглашений, в социальной сфере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left="0" w:right="0" w:firstLine="283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Уполномоченным органом за развитие муниципально-частного партнерства в Вагайском районе определена администрация Вагайского муниципального района в лице отдела экономики и прогнозирования. Администрацией Вагайского муниципального района прорабатываются вопросы о возможности реализации проектов муниципально-частного партнерства на муниципальном уровне. 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Проблематика ситуации при содействии развитию практики применения механизмов муниципально-частного партнерства,</w:t>
            </w:r>
          </w:p>
          <w:p>
            <w:pPr>
              <w:pStyle w:val="ConsPlusNormal"/>
              <w:ind w:left="0" w:right="0" w:firstLine="283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 практики заключения концессионных соглашений, в социальной сфере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Низкая активность частных инициаторов проектов муниципально-частного партнерства, недостаточная нормативно-правовая база в части заключения соглашений о муниципально-частном партнерстве на муниципальном уровне 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Целевые показатели: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Наличие в муниципальной практике проектов с применением механизмов муниципально-частного партнерства, в том числе посредством заключения концессионного соглашения в социальной сфере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Срок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Исполнитель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Формирование и развитие нормативной правовой базы реализации проектов муниципально-частного партнерства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2019-2020 год</w:t>
            </w:r>
          </w:p>
        </w:tc>
        <w:tc>
          <w:tcPr>
            <w:tcW w:w="3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Управление муниципального имущества, строительства, ЖКХ и земельных отношений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Организация и проведение переговоров, связанных с рассмотрением предложений о реализации проектов муниципально-частного партнерства в социальной сфере, на предмет оценки эффективности проекта и определения его сравнительного преимущества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Arial" w:hAnsi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552" w:hRule="atLeast"/>
        </w:trPr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Формирование предложений негосударственным(немуниципальным) организациям о передаче муниципального недвижимого имущества, в том числе посредством заключения концессиооного соглашения с обязательством использования объекта недвижимого имущества в сфере жкх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3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Структурные подразделения Администрации Вагайского муниципального района</w:t>
            </w:r>
          </w:p>
          <w:p>
            <w:pPr>
              <w:pStyle w:val="ConsPlusNormal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  <w:p>
            <w:pPr>
              <w:pStyle w:val="ConsPlusNormal"/>
              <w:jc w:val="center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Размещение информации о реализации проектов муниципально-частного партнерства в социальной сфере на официальном сайте администрации Вагайского муниципального района (</w:t>
            </w:r>
            <w:hyperlink r:id="rId5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  <w:lang w:val="en-US"/>
                </w:rPr>
                <w:t>www</w:t>
              </w:r>
            </w:hyperlink>
            <w:hyperlink r:id="rId6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</w:rPr>
                <w:t>.</w:t>
              </w:r>
            </w:hyperlink>
            <w:hyperlink r:id="rId7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  <w:lang w:val="en-US"/>
                </w:rPr>
                <w:t>kazanka</w:t>
              </w:r>
            </w:hyperlink>
            <w:hyperlink r:id="rId8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</w:rPr>
                <w:t>.</w:t>
              </w:r>
            </w:hyperlink>
            <w:hyperlink r:id="rId9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  <w:lang w:val="en-US"/>
                </w:rPr>
                <w:t>admtyumen</w:t>
              </w:r>
            </w:hyperlink>
            <w:hyperlink r:id="rId10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</w:rPr>
                <w:t>.</w:t>
              </w:r>
            </w:hyperlink>
            <w:hyperlink r:id="rId11">
              <w:r>
                <w:rPr>
                  <w:rStyle w:val="Style14"/>
                  <w:rFonts w:cs="Times New Roman"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) в разделе "Экономика и финансы" на странице "Развитие муниципально-частного партнерства"</w:t>
            </w:r>
          </w:p>
        </w:tc>
        <w:tc>
          <w:tcPr>
            <w:tcW w:w="17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мониторинга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17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5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b/>
                <w:sz w:val="22"/>
                <w:szCs w:val="22"/>
              </w:rPr>
              <w:t>Содействие развитию немуниципальных социально ориентированных некоммерческих организаций</w:t>
            </w:r>
          </w:p>
          <w:p>
            <w:pPr>
              <w:pStyle w:val="ConsPlusNormal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Цель: Привлечение социально ориентированных некоммерческих организаций в социальную сферу Вагайского муниципального района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Исходная фактическая информация по ситуации при содействии развитию негосударственных (немуниципальных) социально ориентированных некоммерческих организаций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Сегодня социально ориентированные некоммерческие организации (далее - СОНКО) все активнее участвуют в решении многих социальных проблем, работают с самыми разными социальными группами - оказывают помощь семьям с детьми, ветеранам, пожилым людям, гражданам, оказавшимся в трудной жизненной ситуации, людям с ограниченными возможностями здоровья и т.д.</w:t>
            </w:r>
          </w:p>
          <w:p>
            <w:pPr>
              <w:pStyle w:val="ConsPlusNormal"/>
              <w:ind w:firstLine="54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В соответствии со </w:t>
            </w:r>
            <w:hyperlink r:id="rId12">
              <w:r>
                <w:rPr>
                  <w:rStyle w:val="Style14"/>
                  <w:rFonts w:cs="Times New Roman" w:ascii="Arial" w:hAnsi="Arial"/>
                  <w:sz w:val="22"/>
                  <w:szCs w:val="22"/>
                </w:rPr>
                <w:t>ст. 31.1</w:t>
              </w:r>
            </w:hyperlink>
            <w:r>
              <w:rPr>
                <w:rFonts w:cs="Times New Roman" w:ascii="Arial" w:hAnsi="Arial"/>
                <w:sz w:val="22"/>
                <w:szCs w:val="22"/>
              </w:rPr>
              <w:t xml:space="preserve"> Федерального закона от 12.01.1996 N 7-ФЗ "О некоммерческих организациях" (далее - Федеральный закон N 7-ФЗ) органы местного самоуправления могут оказывать социально ориентированным некоммерческим организациям (далее - СОНКО) поддержку в следующих формах:</w:t>
            </w:r>
          </w:p>
          <w:p>
            <w:pPr>
              <w:pStyle w:val="ConsPlusNormal"/>
              <w:spacing w:before="220" w:after="200"/>
              <w:ind w:firstLine="54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СОНКО;</w:t>
            </w:r>
          </w:p>
          <w:p>
            <w:pPr>
              <w:pStyle w:val="ConsPlusNormal"/>
              <w:spacing w:before="220" w:after="200"/>
              <w:ind w:firstLine="54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предоставление СОНКО льгот по уплате налогов и сборов в соответствии с законодательством о налогах и сборах;</w:t>
            </w:r>
          </w:p>
          <w:p>
            <w:pPr>
              <w:pStyle w:val="ConsPlusNormal"/>
              <w:spacing w:before="220" w:after="200"/>
              <w:ind w:firstLine="540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осуществление закупок товаров, работ, услуг для обеспечения муниципальных нужд у СОНКО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предоставление юридическим лицам, оказывающим СОНКО материальную поддержку, льгот по уплате налогов и сборов в соответствии с законодательством о налогах и сборах.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        </w:t>
            </w:r>
            <w:r>
              <w:rPr>
                <w:rFonts w:cs="Times New Roman" w:ascii="Arial" w:hAnsi="Arial"/>
                <w:sz w:val="22"/>
                <w:szCs w:val="22"/>
              </w:rPr>
              <w:t xml:space="preserve">С целью развития конкуренции в социальной сфере  зарегистрированы АНО Вагайского района «Центр развития и реабилитации «Виктория», АНО «Праздник», включенные в реестр СОНКО. 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Проблематика ситуации при содействии развитию негосударственных (немуниципальных) социально ориентированных некоммерческих организаций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В настоящее время существуют проблемы, препятствующие привлечению СОНКО на рынок социальных услуг, среди которых недостаток и нестабильность источников финансирования деятельности СОНКО, слабая материально-техническая база СОНКО, недостаточный уровень кадрового потенциала СОНКО, нехватка профессиональных и специальных знаний у сотрудников и добровольцев СОНКО, недостаточность практического опыта.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Контрольные события: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Наличие в муниципальных программах Вагайского муниципального района мероприятий по привлечению социально ориентированных некоммерческих организаций (немуниципального сектора) к участию в культурно-массовых, образовательных и спортивных мероприятиях, в социальном обслуживании населения 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Срок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Исполнитель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Информирование населения о предоставлении услуг социально ориентированными некоммерческими организациями посредством размещения информации на Официальном сайте Администрации Вагайскогомуниципального района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Главный специалист администрации (по культуре и молодежной политике) Вагайского муниципального района</w:t>
            </w:r>
          </w:p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Комплексный центр социального обслуживания населения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Организация информационно-аналитической, консультационной и организационной, финансовой поддержки социально ориентированным некоммерческим организациям</w:t>
            </w:r>
          </w:p>
        </w:tc>
        <w:tc>
          <w:tcPr>
            <w:tcW w:w="170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6</w:t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b/>
                <w:sz w:val="22"/>
                <w:szCs w:val="22"/>
              </w:rPr>
              <w:t>Стимулирование новых предпринимательских инициатив за счет проведения образовательных мероприятий</w:t>
            </w:r>
          </w:p>
          <w:p>
            <w:pPr>
              <w:pStyle w:val="ConsPlusNormal"/>
              <w:rPr>
                <w:rFonts w:ascii="Arial" w:hAnsi="Arial" w:cs="Times New Roman"/>
                <w:b/>
                <w:b/>
                <w:sz w:val="22"/>
                <w:szCs w:val="22"/>
              </w:rPr>
            </w:pPr>
            <w:r>
              <w:rPr>
                <w:rFonts w:cs="Times New Roman" w:ascii="Arial" w:hAnsi="Arial"/>
                <w:b/>
                <w:sz w:val="22"/>
                <w:szCs w:val="22"/>
              </w:rPr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Цель: Обеспечение возможности для поиска, отбора и обучения потенциальных предпринимателей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Исходная фактическая информация по ситуации при стимулировании новых предпринимательских инициатив за счет проведения образовательных мероприятий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В 2019 году предприниматели Вагайского муниципального района участвовали в областных мероприятиях: «День знаний для предпринимателей», семинарах, организованных уполномоченным по защите прав предпринимателей и другими областными службами Кроме того, на территории Вагайского муниципального района проводились учебные мероприятия с участием МИФНС России №7 по Тюменской области, службы ФСС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Проблематика ситуации при стимулировании новых предпринимательских инициатив за счет проведения образовательных мероприятий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Недостаточное количество мероприятий проводимых на территории района для предпринимателей, отсутствие методических материалов для начинающих предпринимателей,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 </w:t>
            </w:r>
            <w:r>
              <w:rPr>
                <w:rFonts w:cs="Times New Roman" w:ascii="Arial" w:hAnsi="Arial"/>
                <w:sz w:val="22"/>
                <w:szCs w:val="22"/>
              </w:rPr>
              <w:t>Низкая активность начинающих предпринимателей в проводимых образовательных мероприятиях- основная причина.</w:t>
            </w:r>
          </w:p>
        </w:tc>
      </w:tr>
      <w:tr>
        <w:trPr/>
        <w:tc>
          <w:tcPr>
            <w:tcW w:w="4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Целевые показатели:</w:t>
            </w:r>
          </w:p>
        </w:tc>
      </w:tr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Количество проведенных обучающих мероприятий, ед.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2018 год (факт) – 4</w:t>
            </w:r>
            <w:r>
              <w:rPr>
                <w:rFonts w:cs="Times New Roman" w:ascii="Arial" w:hAnsi="Arial"/>
                <w:sz w:val="24"/>
                <w:szCs w:val="24"/>
              </w:rPr>
              <w:t xml:space="preserve"> 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4"/>
                <w:szCs w:val="24"/>
              </w:rPr>
              <w:t>2019год (план) -4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2020 год (факт) – 4   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2021год (план)    -4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2022 год (план) – 4</w:t>
            </w:r>
          </w:p>
        </w:tc>
      </w:tr>
      <w:tr>
        <w:trPr>
          <w:trHeight w:val="1181" w:hRule="atLeast"/>
        </w:trPr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1418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Количество субъектов среднего и малого предпринимательства, принявших участие в обучающих мероприятиях, чел.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2018 год (факт) – 45 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2019 год (план)  - 60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2020 год (факт) – 60 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2021 год (план)   -60</w:t>
            </w:r>
          </w:p>
          <w:p>
            <w:pPr>
              <w:pStyle w:val="ConsPlusNormal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2022 год (план) – 60</w:t>
            </w:r>
          </w:p>
          <w:p>
            <w:pPr>
              <w:pStyle w:val="ConsPlusNormal"/>
              <w:jc w:val="both"/>
              <w:rPr>
                <w:rFonts w:ascii="Arial" w:hAnsi="Arial" w:cs="Times New Roman"/>
                <w:sz w:val="22"/>
                <w:szCs w:val="22"/>
              </w:rPr>
            </w:pPr>
            <w:r>
              <w:rPr>
                <w:rFonts w:cs="Times New Roman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Срок</w:t>
            </w:r>
          </w:p>
        </w:tc>
        <w:tc>
          <w:tcPr>
            <w:tcW w:w="3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Исполнитель</w:t>
            </w:r>
          </w:p>
        </w:tc>
      </w:tr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Размещение информации о развитии предпринимательства на официальном сайте администрации Казанского муниципального района 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постоянно</w:t>
            </w:r>
          </w:p>
        </w:tc>
        <w:tc>
          <w:tcPr>
            <w:tcW w:w="3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 xml:space="preserve">Отдел экономики и прогнозирования </w:t>
            </w:r>
          </w:p>
        </w:tc>
      </w:tr>
      <w:tr>
        <w:trPr/>
        <w:tc>
          <w:tcPr>
            <w:tcW w:w="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88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проектах «Школа фермера»,  «Школа социального предпринимателя» и др.</w:t>
            </w:r>
          </w:p>
        </w:tc>
        <w:tc>
          <w:tcPr>
            <w:tcW w:w="17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Arial" w:hAnsi="Arial"/>
                <w:sz w:val="22"/>
                <w:szCs w:val="22"/>
              </w:rPr>
              <w:t>2018-2019 год</w:t>
            </w:r>
          </w:p>
        </w:tc>
        <w:tc>
          <w:tcPr>
            <w:tcW w:w="366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41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Совершенствование процессов управления объектами муниципальной собственности Вагайского муниципального района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Цель: Снижение влияния муниципальных предприятий на экономику района</w:t>
            </w:r>
          </w:p>
        </w:tc>
      </w:tr>
      <w:tr>
        <w:trPr>
          <w:trHeight w:val="753" w:hRule="atLeast"/>
        </w:trPr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Исходная фактическая информация по ситуации при управлении объектами муниципальной собственности Вагайского муниципального района</w:t>
            </w:r>
          </w:p>
        </w:tc>
      </w:tr>
      <w:tr>
        <w:trPr>
          <w:trHeight w:val="1760" w:hRule="atLeast"/>
        </w:trPr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Times New Roman" w:hAnsi="Times New Roman"/>
              </w:rPr>
              <w:t>Управление и распоряжение муниципальной собственностью осуществляется с целью устойчивого социально-экономического развития  Вагайского муниципального района.</w:t>
            </w:r>
          </w:p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Times New Roman" w:hAnsi="Times New Roman"/>
              </w:rPr>
              <w:t>Учет объектов муниципальной собственности осуществляется путем ведения реестра муниципального имущества Вагайского муниципального района. Порядок ведения реестра муниципального имущества Вагайского муниципального района устанавливается администрацией  Вагайского муниципального района.</w:t>
            </w:r>
          </w:p>
          <w:p>
            <w:pPr>
              <w:pStyle w:val="Normal"/>
              <w:spacing w:before="0" w:after="200"/>
              <w:rPr/>
            </w:pPr>
            <w:r>
              <w:rPr>
                <w:rFonts w:cs="Times New Roman" w:ascii="Times New Roman" w:hAnsi="Times New Roman"/>
              </w:rPr>
              <w:t>По состоянию на 01.01.2020 в собственности  Вагайского муниципального района находится два муниципальное унитарное предприятие.</w:t>
            </w:r>
          </w:p>
        </w:tc>
      </w:tr>
      <w:tr>
        <w:trPr/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Проблематика ситуации при управления объектами муниципальной собственности </w:t>
            </w:r>
          </w:p>
        </w:tc>
      </w:tr>
      <w:tr>
        <w:trPr/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ind w:firstLine="283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Недостаточный уровень эффективности управления хозяйственными обществами</w:t>
            </w:r>
          </w:p>
        </w:tc>
      </w:tr>
      <w:tr>
        <w:trPr/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Целевые показатели:</w:t>
            </w:r>
          </w:p>
        </w:tc>
      </w:tr>
      <w:tr>
        <w:trPr/>
        <w:tc>
          <w:tcPr>
            <w:tcW w:w="417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4183" w:type="dxa"/>
            <w:gridSpan w:val="5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приватизированных объектов муниципальной формы собственности, ед.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 (факт) – 12 ед.,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2019 год (план) – 883 ед. контейнеры, 1 зем. участок; факт - 0 (торги не проводились) </w:t>
            </w:r>
          </w:p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 (план) — 6 ед.</w:t>
            </w:r>
          </w:p>
        </w:tc>
      </w:tr>
      <w:tr>
        <w:trPr/>
        <w:tc>
          <w:tcPr>
            <w:tcW w:w="41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/>
            </w:r>
          </w:p>
        </w:tc>
        <w:tc>
          <w:tcPr>
            <w:tcW w:w="141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Контрольные события:</w:t>
            </w:r>
          </w:p>
          <w:p>
            <w:pPr>
              <w:pStyle w:val="Normal"/>
              <w:spacing w:before="0" w:after="20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Решение о включении муниципального имущества Вагайского муниципального района в прогнозный план приватизации (ежегодно)</w:t>
            </w:r>
          </w:p>
        </w:tc>
      </w:tr>
      <w:tr>
        <w:trPr/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8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36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</w:t>
            </w:r>
          </w:p>
        </w:tc>
      </w:tr>
      <w:tr>
        <w:trPr>
          <w:trHeight w:val="1104" w:hRule="atLeast"/>
        </w:trPr>
        <w:tc>
          <w:tcPr>
            <w:tcW w:w="417" w:type="dxa"/>
            <w:gridSpan w:val="2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8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Ограничение влияния муниципальных предприятий на конкуренцию путем оптимизации состава и структуры муниципального имущества</w:t>
            </w:r>
          </w:p>
        </w:tc>
        <w:tc>
          <w:tcPr>
            <w:tcW w:w="17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ConsPlusNormal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 муниципального имущества, строительства, ЖКХ и земельных отношений</w:t>
            </w:r>
          </w:p>
        </w:tc>
      </w:tr>
    </w:tbl>
    <w:p>
      <w:pPr>
        <w:pStyle w:val="Normal"/>
        <w:numPr>
          <w:ilvl w:val="0"/>
          <w:numId w:val="0"/>
        </w:numPr>
        <w:spacing w:before="0" w:after="200"/>
        <w:jc w:val="center"/>
        <w:outlineLvl w:val="1"/>
        <w:rPr/>
      </w:pPr>
      <w:r>
        <w:rPr/>
      </w:r>
    </w:p>
    <w:sectPr>
      <w:type w:val="nextPage"/>
      <w:pgSz w:orient="landscape" w:w="16838" w:h="11906"/>
      <w:pgMar w:left="1701" w:right="850" w:header="0" w:top="737" w:footer="0" w:bottom="624" w:gutter="0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570d5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uiPriority w:val="99"/>
    <w:rsid w:val="009c1d39"/>
    <w:rPr>
      <w:rFonts w:cs="Times New Roman"/>
      <w:color w:val="0000FF"/>
      <w:u w:val="single"/>
    </w:rPr>
  </w:style>
  <w:style w:type="character" w:styleId="Style15" w:customStyle="1">
    <w:name w:val="Текст выноски Знак"/>
    <w:uiPriority w:val="99"/>
    <w:semiHidden/>
    <w:qFormat/>
    <w:locked/>
    <w:rsid w:val="00a53d19"/>
    <w:rPr>
      <w:rFonts w:ascii="Tahoma" w:hAnsi="Tahoma" w:cs="Tahoma"/>
      <w:sz w:val="16"/>
      <w:szCs w:val="16"/>
      <w:lang w:eastAsia="ru-RU"/>
    </w:rPr>
  </w:style>
  <w:style w:type="character" w:styleId="Strong">
    <w:name w:val="Strong"/>
    <w:qFormat/>
    <w:locked/>
    <w:rsid w:val="00d6445f"/>
    <w:rPr>
      <w:rFonts w:ascii="Times New Roman" w:hAnsi="Times New Roman" w:cs="Times New Roman"/>
      <w:b/>
      <w:bCs/>
    </w:rPr>
  </w:style>
  <w:style w:type="character" w:styleId="ListLabel1" w:customStyle="1">
    <w:name w:val="ListLabel 1"/>
    <w:qFormat/>
    <w:rPr>
      <w:rFonts w:cs="Times New Roman"/>
    </w:rPr>
  </w:style>
  <w:style w:type="character" w:styleId="ListLabel2" w:customStyle="1">
    <w:name w:val="ListLabel 2"/>
    <w:qFormat/>
    <w:rPr>
      <w:rFonts w:cs="Times New Roman"/>
    </w:rPr>
  </w:style>
  <w:style w:type="character" w:styleId="ListLabel3" w:customStyle="1">
    <w:name w:val="ListLabel 3"/>
    <w:qFormat/>
    <w:rPr>
      <w:rFonts w:cs="Times New Roman"/>
    </w:rPr>
  </w:style>
  <w:style w:type="character" w:styleId="ListLabel4" w:customStyle="1">
    <w:name w:val="ListLabel 4"/>
    <w:qFormat/>
    <w:rPr>
      <w:rFonts w:cs="Times New Roman"/>
    </w:rPr>
  </w:style>
  <w:style w:type="character" w:styleId="ListLabel5" w:customStyle="1">
    <w:name w:val="ListLabel 5"/>
    <w:qFormat/>
    <w:rPr>
      <w:rFonts w:cs="Times New Roman"/>
    </w:rPr>
  </w:style>
  <w:style w:type="character" w:styleId="ListLabel6" w:customStyle="1">
    <w:name w:val="ListLabel 6"/>
    <w:qFormat/>
    <w:rPr>
      <w:rFonts w:cs="Times New Roman"/>
    </w:rPr>
  </w:style>
  <w:style w:type="character" w:styleId="ListLabel7" w:customStyle="1">
    <w:name w:val="ListLabel 7"/>
    <w:qFormat/>
    <w:rPr>
      <w:rFonts w:cs="Times New Roman"/>
    </w:rPr>
  </w:style>
  <w:style w:type="character" w:styleId="ListLabel8" w:customStyle="1">
    <w:name w:val="ListLabel 8"/>
    <w:qFormat/>
    <w:rPr>
      <w:rFonts w:cs="Times New Roman"/>
    </w:rPr>
  </w:style>
  <w:style w:type="character" w:styleId="ListLabel9" w:customStyle="1">
    <w:name w:val="ListLabel 9"/>
    <w:qFormat/>
    <w:rPr>
      <w:rFonts w:cs="Times New Roman"/>
    </w:rPr>
  </w:style>
  <w:style w:type="character" w:styleId="ListLabel10" w:customStyle="1">
    <w:name w:val="ListLabel 10"/>
    <w:qFormat/>
    <w:rPr>
      <w:rFonts w:eastAsia="Times New Roman"/>
    </w:rPr>
  </w:style>
  <w:style w:type="character" w:styleId="ListLabel11" w:customStyle="1">
    <w:name w:val="ListLabel 11"/>
    <w:qFormat/>
    <w:rPr>
      <w:rFonts w:eastAsia="Times New Roman"/>
    </w:rPr>
  </w:style>
  <w:style w:type="character" w:styleId="ListLabel12" w:customStyle="1">
    <w:name w:val="ListLabel 12"/>
    <w:qFormat/>
    <w:rPr>
      <w:rFonts w:eastAsia="Times New Roman"/>
    </w:rPr>
  </w:style>
  <w:style w:type="character" w:styleId="ListLabel13" w:customStyle="1">
    <w:name w:val="ListLabel 13"/>
    <w:qFormat/>
    <w:rPr>
      <w:rFonts w:cs="Times New Roman"/>
      <w:color w:val="00000A"/>
      <w:sz w:val="24"/>
    </w:rPr>
  </w:style>
  <w:style w:type="character" w:styleId="ListLabel14" w:customStyle="1">
    <w:name w:val="ListLabel 14"/>
    <w:qFormat/>
    <w:rPr>
      <w:rFonts w:cs="Times New Roman"/>
    </w:rPr>
  </w:style>
  <w:style w:type="character" w:styleId="ListLabel15" w:customStyle="1">
    <w:name w:val="ListLabel 15"/>
    <w:qFormat/>
    <w:rPr>
      <w:rFonts w:cs="Times New Roman"/>
    </w:rPr>
  </w:style>
  <w:style w:type="character" w:styleId="ListLabel16" w:customStyle="1">
    <w:name w:val="ListLabel 16"/>
    <w:qFormat/>
    <w:rPr>
      <w:rFonts w:cs="Times New Roman"/>
    </w:rPr>
  </w:style>
  <w:style w:type="character" w:styleId="ListLabel17" w:customStyle="1">
    <w:name w:val="ListLabel 17"/>
    <w:qFormat/>
    <w:rPr>
      <w:rFonts w:cs="Times New Roman"/>
    </w:rPr>
  </w:style>
  <w:style w:type="character" w:styleId="ListLabel18" w:customStyle="1">
    <w:name w:val="ListLabel 18"/>
    <w:qFormat/>
    <w:rPr>
      <w:rFonts w:cs="Times New Roman"/>
    </w:rPr>
  </w:style>
  <w:style w:type="character" w:styleId="ListLabel19" w:customStyle="1">
    <w:name w:val="ListLabel 19"/>
    <w:qFormat/>
    <w:rPr>
      <w:rFonts w:cs="Times New Roman"/>
    </w:rPr>
  </w:style>
  <w:style w:type="character" w:styleId="ListLabel20" w:customStyle="1">
    <w:name w:val="ListLabel 20"/>
    <w:qFormat/>
    <w:rPr>
      <w:rFonts w:cs="Times New Roman"/>
    </w:rPr>
  </w:style>
  <w:style w:type="character" w:styleId="ListLabel21" w:customStyle="1">
    <w:name w:val="ListLabel 21"/>
    <w:qFormat/>
    <w:rPr>
      <w:rFonts w:cs="Times New Roman"/>
    </w:rPr>
  </w:style>
  <w:style w:type="character" w:styleId="ListLabel22" w:customStyle="1">
    <w:name w:val="ListLabel 22"/>
    <w:qFormat/>
    <w:rPr>
      <w:rFonts w:ascii="Arial" w:hAnsi="Arial" w:cs="Times New Roman"/>
      <w:sz w:val="22"/>
      <w:szCs w:val="22"/>
    </w:rPr>
  </w:style>
  <w:style w:type="character" w:styleId="ListLabel23" w:customStyle="1">
    <w:name w:val="ListLabel 23"/>
    <w:qFormat/>
    <w:rPr>
      <w:rFonts w:ascii="Arial" w:hAnsi="Arial" w:cs="Times New Roman"/>
      <w:sz w:val="22"/>
      <w:szCs w:val="22"/>
    </w:rPr>
  </w:style>
  <w:style w:type="character" w:styleId="ListLabel24" w:customStyle="1">
    <w:name w:val="ListLabel 24"/>
    <w:qFormat/>
    <w:rPr>
      <w:rFonts w:ascii="Arial" w:hAnsi="Arial" w:cs="Times New Roman"/>
      <w:sz w:val="22"/>
      <w:szCs w:val="22"/>
    </w:rPr>
  </w:style>
  <w:style w:type="character" w:styleId="ListLabel25" w:customStyle="1">
    <w:name w:val="ListLabel 25"/>
    <w:qFormat/>
    <w:rPr>
      <w:rFonts w:ascii="Times New Roman" w:hAnsi="Times New Roman" w:cs="Symbol"/>
      <w:sz w:val="24"/>
    </w:rPr>
  </w:style>
  <w:style w:type="character" w:styleId="ListLabel26" w:customStyle="1">
    <w:name w:val="ListLabel 26"/>
    <w:qFormat/>
    <w:rPr>
      <w:rFonts w:cs="Courier New"/>
    </w:rPr>
  </w:style>
  <w:style w:type="character" w:styleId="ListLabel27" w:customStyle="1">
    <w:name w:val="ListLabel 27"/>
    <w:qFormat/>
    <w:rPr>
      <w:rFonts w:cs="Wingdings"/>
    </w:rPr>
  </w:style>
  <w:style w:type="character" w:styleId="ListLabel28" w:customStyle="1">
    <w:name w:val="ListLabel 28"/>
    <w:qFormat/>
    <w:rPr>
      <w:rFonts w:cs="Symbol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cs="Wingdings"/>
    </w:rPr>
  </w:style>
  <w:style w:type="character" w:styleId="ListLabel31" w:customStyle="1">
    <w:name w:val="ListLabel 31"/>
    <w:qFormat/>
    <w:rPr>
      <w:rFonts w:cs="Symbol"/>
    </w:rPr>
  </w:style>
  <w:style w:type="character" w:styleId="ListLabel32" w:customStyle="1">
    <w:name w:val="ListLabel 32"/>
    <w:qFormat/>
    <w:rPr>
      <w:rFonts w:cs="Courier New"/>
    </w:rPr>
  </w:style>
  <w:style w:type="character" w:styleId="ListLabel33" w:customStyle="1">
    <w:name w:val="ListLabel 33"/>
    <w:qFormat/>
    <w:rPr>
      <w:rFonts w:cs="Wingdings"/>
    </w:rPr>
  </w:style>
  <w:style w:type="character" w:styleId="ListLabel34" w:customStyle="1">
    <w:name w:val="ListLabel 34"/>
    <w:qFormat/>
    <w:rPr>
      <w:rFonts w:ascii="Arial" w:hAnsi="Arial"/>
      <w:szCs w:val="22"/>
    </w:rPr>
  </w:style>
  <w:style w:type="character" w:styleId="ListLabel35" w:customStyle="1">
    <w:name w:val="ListLabel 35"/>
    <w:qFormat/>
    <w:rPr>
      <w:rFonts w:ascii="Arial" w:hAnsi="Arial"/>
      <w:szCs w:val="22"/>
      <w:highlight w:val="yellow"/>
    </w:rPr>
  </w:style>
  <w:style w:type="character" w:styleId="ListLabel36">
    <w:name w:val="ListLabel 36"/>
    <w:qFormat/>
    <w:rPr>
      <w:rFonts w:cs="Symbol"/>
      <w:sz w:val="24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Wingdings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Wingdings"/>
    </w:rPr>
  </w:style>
  <w:style w:type="character" w:styleId="Style16">
    <w:name w:val="Посещённая гиперссылка"/>
    <w:rPr>
      <w:color w:val="800000"/>
      <w:u w:val="single"/>
      <w:lang w:val="zxx" w:eastAsia="zxx" w:bidi="zxx"/>
    </w:rPr>
  </w:style>
  <w:style w:type="character" w:styleId="ListLabel45">
    <w:name w:val="ListLabel 45"/>
    <w:qFormat/>
    <w:rPr>
      <w:rFonts w:ascii="Arial" w:hAnsi="Arial"/>
      <w:szCs w:val="22"/>
    </w:rPr>
  </w:style>
  <w:style w:type="character" w:styleId="ListLabel46">
    <w:name w:val="ListLabel 46"/>
    <w:qFormat/>
    <w:rPr>
      <w:rFonts w:ascii="Times New Roman" w:hAnsi="Times New Roman" w:cs="Times New Roman"/>
      <w:sz w:val="24"/>
      <w:szCs w:val="24"/>
      <w:lang w:val="en-US"/>
    </w:rPr>
  </w:style>
  <w:style w:type="character" w:styleId="ListLabel47">
    <w:name w:val="ListLabel 47"/>
    <w:qFormat/>
    <w:rPr>
      <w:rFonts w:ascii="Times New Roman" w:hAnsi="Times New Roman" w:cs="Times New Roman"/>
      <w:sz w:val="24"/>
      <w:szCs w:val="24"/>
    </w:rPr>
  </w:style>
  <w:style w:type="character" w:styleId="ListLabel48">
    <w:name w:val="ListLabel 48"/>
    <w:qFormat/>
    <w:rPr>
      <w:rFonts w:ascii="Arial" w:hAnsi="Arial" w:cs="Times New Roman"/>
      <w:sz w:val="22"/>
      <w:szCs w:val="22"/>
    </w:rPr>
  </w:style>
  <w:style w:type="character" w:styleId="ListLabel49">
    <w:name w:val="ListLabel 49"/>
    <w:qFormat/>
    <w:rPr>
      <w:rFonts w:ascii="Arial" w:hAnsi="Arial"/>
      <w:szCs w:val="22"/>
    </w:rPr>
  </w:style>
  <w:style w:type="character" w:styleId="ListLabel50">
    <w:name w:val="ListLabel 50"/>
    <w:qFormat/>
    <w:rPr>
      <w:rFonts w:ascii="Times New Roman" w:hAnsi="Times New Roman" w:cs="Times New Roman"/>
      <w:sz w:val="24"/>
      <w:szCs w:val="24"/>
      <w:lang w:val="en-US"/>
    </w:rPr>
  </w:style>
  <w:style w:type="character" w:styleId="ListLabel51">
    <w:name w:val="ListLabel 51"/>
    <w:qFormat/>
    <w:rPr>
      <w:rFonts w:ascii="Times New Roman" w:hAnsi="Times New Roman" w:cs="Times New Roman"/>
      <w:sz w:val="24"/>
      <w:szCs w:val="24"/>
    </w:rPr>
  </w:style>
  <w:style w:type="character" w:styleId="ListLabel52">
    <w:name w:val="ListLabel 52"/>
    <w:qFormat/>
    <w:rPr>
      <w:rFonts w:ascii="Arial" w:hAnsi="Arial" w:cs="Times New Roman"/>
      <w:sz w:val="22"/>
      <w:szCs w:val="22"/>
    </w:rPr>
  </w:style>
  <w:style w:type="character" w:styleId="ListLabel53">
    <w:name w:val="ListLabel 53"/>
    <w:qFormat/>
    <w:rPr>
      <w:rFonts w:ascii="Arial" w:hAnsi="Arial"/>
      <w:szCs w:val="22"/>
    </w:rPr>
  </w:style>
  <w:style w:type="character" w:styleId="ListLabel54">
    <w:name w:val="ListLabel 54"/>
    <w:qFormat/>
    <w:rPr>
      <w:rFonts w:ascii="Times New Roman" w:hAnsi="Times New Roman" w:cs="Times New Roman"/>
      <w:sz w:val="24"/>
      <w:szCs w:val="24"/>
      <w:lang w:val="en-US"/>
    </w:rPr>
  </w:style>
  <w:style w:type="character" w:styleId="ListLabel55">
    <w:name w:val="ListLabel 55"/>
    <w:qFormat/>
    <w:rPr>
      <w:rFonts w:ascii="Times New Roman" w:hAnsi="Times New Roman" w:cs="Times New Roman"/>
      <w:sz w:val="24"/>
      <w:szCs w:val="24"/>
    </w:rPr>
  </w:style>
  <w:style w:type="character" w:styleId="ListLabel56">
    <w:name w:val="ListLabel 56"/>
    <w:qFormat/>
    <w:rPr>
      <w:rFonts w:ascii="Arial" w:hAnsi="Arial" w:cs="Times New Roman"/>
      <w:sz w:val="22"/>
      <w:szCs w:val="22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48175a"/>
    <w:pPr>
      <w:widowControl w:val="false"/>
      <w:bidi w:val="0"/>
      <w:jc w:val="left"/>
    </w:pPr>
    <w:rPr>
      <w:rFonts w:ascii="Calibri" w:hAnsi="Calibri" w:eastAsia="Times New Roman" w:cs="Calibri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48175a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48175a"/>
    <w:pPr>
      <w:widowControl w:val="false"/>
      <w:bidi w:val="0"/>
      <w:jc w:val="left"/>
    </w:pPr>
    <w:rPr>
      <w:rFonts w:ascii="Calibri" w:hAnsi="Calibri" w:eastAsia="Times New Roman" w:cs="Calibri"/>
      <w:b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48175a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48175a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Page" w:customStyle="1">
    <w:name w:val="ConsPlusTitlePage"/>
    <w:uiPriority w:val="99"/>
    <w:qFormat/>
    <w:rsid w:val="0048175a"/>
    <w:pPr>
      <w:widowControl w:val="false"/>
      <w:bidi w:val="0"/>
      <w:jc w:val="left"/>
    </w:pPr>
    <w:rPr>
      <w:rFonts w:ascii="Tahoma" w:hAnsi="Tahoma" w:eastAsia="Times New Roman" w:cs="Tahoma"/>
      <w:color w:val="00000A"/>
      <w:kern w:val="0"/>
      <w:sz w:val="22"/>
      <w:szCs w:val="20"/>
      <w:lang w:val="ru-RU" w:eastAsia="ru-RU" w:bidi="ar-SA"/>
    </w:rPr>
  </w:style>
  <w:style w:type="paragraph" w:styleId="ConsPlusJurTerm" w:customStyle="1">
    <w:name w:val="ConsPlusJurTerm"/>
    <w:uiPriority w:val="99"/>
    <w:qFormat/>
    <w:rsid w:val="0048175a"/>
    <w:pPr>
      <w:widowControl w:val="false"/>
      <w:bidi w:val="0"/>
      <w:jc w:val="left"/>
    </w:pPr>
    <w:rPr>
      <w:rFonts w:ascii="Tahoma" w:hAnsi="Tahoma" w:eastAsia="Times New Roman" w:cs="Tahoma"/>
      <w:color w:val="00000A"/>
      <w:kern w:val="0"/>
      <w:sz w:val="26"/>
      <w:szCs w:val="20"/>
      <w:lang w:val="ru-RU" w:eastAsia="ru-RU" w:bidi="ar-SA"/>
    </w:rPr>
  </w:style>
  <w:style w:type="paragraph" w:styleId="ConsPlusTextList" w:customStyle="1">
    <w:name w:val="ConsPlusTextList"/>
    <w:uiPriority w:val="99"/>
    <w:qFormat/>
    <w:rsid w:val="0048175a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a02ff9"/>
    <w:pPr>
      <w:spacing w:lineRule="auto" w:line="240" w:before="0" w:after="0"/>
      <w:ind w:left="720" w:hanging="357"/>
      <w:contextualSpacing/>
    </w:pPr>
    <w:rPr/>
  </w:style>
  <w:style w:type="paragraph" w:styleId="BalloonText">
    <w:name w:val="Balloon Text"/>
    <w:basedOn w:val="Normal"/>
    <w:uiPriority w:val="99"/>
    <w:semiHidden/>
    <w:qFormat/>
    <w:rsid w:val="00a53d19"/>
    <w:pPr>
      <w:widowControl w:val="false"/>
      <w:spacing w:lineRule="auto" w:line="240" w:before="0" w:after="0"/>
    </w:pPr>
    <w:rPr>
      <w:rFonts w:ascii="Tahoma" w:hAnsi="Tahoma" w:eastAsia="Times New Roman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qFormat/>
    <w:rsid w:val="00812c27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22" w:customStyle="1">
    <w:name w:val="Содержимое таблицы"/>
    <w:basedOn w:val="Normal"/>
    <w:qFormat/>
    <w:pPr/>
    <w:rPr/>
  </w:style>
  <w:style w:type="paragraph" w:styleId="Style23" w:customStyle="1">
    <w:name w:val="Заголовок таблицы"/>
    <w:basedOn w:val="Style22"/>
    <w:qFormat/>
    <w:pPr/>
    <w:rPr/>
  </w:style>
  <w:style w:type="paragraph" w:styleId="Style2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99"/>
    <w:rsid w:val="006a2ae4"/>
    <w:pPr>
      <w:spacing w:after="200" w:line="276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00C2739F06BD354F623D626A8E2D1EAC0239A1A68B3B801AEA6F45FB60oEu8G" TargetMode="External"/><Relationship Id="rId3" Type="http://schemas.openxmlformats.org/officeDocument/2006/relationships/hyperlink" Target="consultantplus://offline/ref=00C2739F06BD354F623D7C67984140A30632FFA28A3A8C4DB0301EA637E1C56DoAuBG" TargetMode="External"/><Relationship Id="rId4" Type="http://schemas.openxmlformats.org/officeDocument/2006/relationships/hyperlink" Target="consultantplus://offline/ref=00C2739F06BD354F623D626A8E2D1EAC0239A8A78130801AEA6F45FB60oEu8G" TargetMode="External"/><Relationship Id="rId5" Type="http://schemas.openxmlformats.org/officeDocument/2006/relationships/hyperlink" Target="http://www.kazanka.admtyumen.ru/" TargetMode="External"/><Relationship Id="rId6" Type="http://schemas.openxmlformats.org/officeDocument/2006/relationships/hyperlink" Target="http://www.kazanka.admtyumen.ru/" TargetMode="External"/><Relationship Id="rId7" Type="http://schemas.openxmlformats.org/officeDocument/2006/relationships/hyperlink" Target="http://www.kazanka.admtyumen.ru/" TargetMode="External"/><Relationship Id="rId8" Type="http://schemas.openxmlformats.org/officeDocument/2006/relationships/hyperlink" Target="http://www.kazanka.admtyumen.ru/" TargetMode="External"/><Relationship Id="rId9" Type="http://schemas.openxmlformats.org/officeDocument/2006/relationships/hyperlink" Target="http://www.kazanka.admtyumen.ru/" TargetMode="External"/><Relationship Id="rId10" Type="http://schemas.openxmlformats.org/officeDocument/2006/relationships/hyperlink" Target="http://www.kazanka.admtyumen.ru/" TargetMode="External"/><Relationship Id="rId11" Type="http://schemas.openxmlformats.org/officeDocument/2006/relationships/hyperlink" Target="http://www.kazanka.admtyumen.ru/" TargetMode="External"/><Relationship Id="rId12" Type="http://schemas.openxmlformats.org/officeDocument/2006/relationships/hyperlink" Target="consultantplus://offline/ref=E04BCE0580FF7273C9DE2252269AC9313FE27BB3103A3B04AB5C372A58FE95EC995520C17DUAm1I" TargetMode="Externa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2567</TotalTime>
  <Application>LibreOffice/6.2.5.2$Windows_X86_64 LibreOffice_project/1ec314fa52f458adc18c4f025c545a4e8b22c159</Application>
  <Pages>24</Pages>
  <Words>5088</Words>
  <Characters>38926</Characters>
  <CharactersWithSpaces>43550</CharactersWithSpaces>
  <Paragraphs>648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2017-12-15T06:46:00Z</dcterms:created>
  <dc:creator>Пахоменко Мария Александровна</dc:creator>
  <dc:description/>
  <dc:language>ru-RU</dc:language>
  <cp:lastModifiedBy/>
  <cp:lastPrinted>2020-03-05T14:23:30Z</cp:lastPrinted>
  <dcterms:modified xsi:type="dcterms:W3CDTF">2020-03-06T13:16:28Z</dcterms:modified>
  <cp:revision>294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