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Информация о реализации плана мероприятий («дорожной карты») по содействию развитию конкуренции</w:t>
      </w:r>
    </w:p>
    <w:p>
      <w:pPr>
        <w:pStyle w:val="Normal"/>
        <w:spacing w:lineRule="auto" w:line="240" w:beforeAutospacing="1" w:afterAutospacing="1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в Вагайском муниципальном районе в 2018 году</w:t>
      </w:r>
    </w:p>
    <w:tbl>
      <w:tblPr>
        <w:tblW w:w="14604" w:type="dxa"/>
        <w:jc w:val="left"/>
        <w:tblInd w:w="-44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tblCellMar>
          <w:top w:w="0" w:type="dxa"/>
          <w:left w:w="-22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88"/>
        <w:gridCol w:w="2483"/>
        <w:gridCol w:w="1656"/>
        <w:gridCol w:w="2604"/>
        <w:gridCol w:w="1128"/>
        <w:gridCol w:w="2215"/>
        <w:gridCol w:w="492"/>
        <w:gridCol w:w="495"/>
        <w:gridCol w:w="1681"/>
        <w:gridCol w:w="2"/>
        <w:gridCol w:w="1558"/>
      </w:tblGrid>
      <w:tr>
        <w:trPr>
          <w:tblHeader w:val="true"/>
          <w:trHeight w:val="600" w:hRule="atLeast"/>
        </w:trPr>
        <w:tc>
          <w:tcPr>
            <w:tcW w:w="28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83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65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2604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Информация о реализации мероприятия в отчетном периоде</w:t>
            </w:r>
          </w:p>
        </w:tc>
        <w:tc>
          <w:tcPr>
            <w:tcW w:w="112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883" w:type="dxa"/>
            <w:gridSpan w:val="4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Информация о выполнении целевых показателей</w:t>
            </w:r>
          </w:p>
        </w:tc>
        <w:tc>
          <w:tcPr>
            <w:tcW w:w="1560" w:type="dxa"/>
            <w:gridSpan w:val="2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Причины невыполнения показателей</w:t>
            </w:r>
          </w:p>
        </w:tc>
      </w:tr>
      <w:tr>
        <w:trPr>
          <w:tblHeader w:val="true"/>
          <w:trHeight w:val="600" w:hRule="atLeast"/>
        </w:trPr>
        <w:tc>
          <w:tcPr>
            <w:tcW w:w="28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b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b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1656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b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604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b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112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b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155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b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I. Системные мероприятия по развитию конкурентной среды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Вагайском муниципальном районе</w:t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Развитие конкуренции при осуществлении процедур муниципальных закупок, а также закупок хозяйствующих субъектов, доля муниципального образования в которых составляет более 50 процентов, в том числе за счет расширения участия в указанных процедурах СМиСП</w:t>
            </w:r>
          </w:p>
        </w:tc>
      </w:tr>
      <w:tr>
        <w:trPr/>
        <w:tc>
          <w:tcPr>
            <w:tcW w:w="28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83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Размещение информации об определении поставщика (подрядчика, исполнителя) в информационно-телекоммуникационной сети Интернет в соответствии с действующим законодательством</w:t>
            </w:r>
          </w:p>
        </w:tc>
        <w:tc>
          <w:tcPr>
            <w:tcW w:w="165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2018 году  в информационно-телекоммуникационной сети Интернет в соответствии с действующим законодательством размещена информация о 51 электроном аукционе, 1 открытом конкурсе и 28 запросе котировок.</w:t>
            </w:r>
          </w:p>
        </w:tc>
        <w:tc>
          <w:tcPr>
            <w:tcW w:w="112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Муниципальные заказчики  Отдел экономики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Доля совокупного годового объема закупок товаров, работ, услуг для муниципальных нужд у СМиСП , СОНКО осуществленных в соответствии с требованиями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в совокупном годовом объеме закупок товаров, работ, услуг для муниципальных нужд,%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56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604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12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муниципальных нужд, единиц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Удельный вес конкурентных закупок в общем объеме закупок, %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23" w:hRule="exact"/>
        </w:trPr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Обеспечение равных условий доступа к информации о реализации муниципального имущества Вагайского муниципального района, а так же ресурсов всех видов, находящихся в муниципальной собственности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потенциальных участников торгов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 официальном сайте Администрации  Вагайского муниципального района в сети Интернет  в 2018 году 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информация своевременно размещена по  приватизации муниципального имущества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 по управлению муниципальным имуществом и земельным отношениям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Размещение информации о приватизации объектов, находящихся в муниципальной собственности на официальном сайте Администрации  Вагайского муниципального района в сети Интернет :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cs="" w:asciiTheme="minorHAnsi" w:cstheme="minorBidi" w:hAnsiTheme="minorHAnsi"/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cs="" w:asciiTheme="minorHAnsi" w:cstheme="minorBidi" w:hAnsiTheme="minorHAnsi"/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результатам ОА победитель отказался от заключения договора КП.</w:t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конкуренции на рынке строительства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условий максимального благоприятствования хозяйствующим субъектам при входе на рынок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назначения, ед.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/>
            </w:pPr>
            <w:r>
              <w:rPr/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eastAsia="Calibri" w:cs="" w:cstheme="minorBidi" w:eastAsiaTheme="minorHAnsi"/>
              </w:rPr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eastAsia="Calibri" w:cs="" w:cstheme="minorBidi" w:eastAsiaTheme="minorHAnsi"/>
              </w:rPr>
            </w:r>
          </w:p>
        </w:tc>
        <w:tc>
          <w:tcPr>
            <w:tcW w:w="2604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eastAsia="Calibri" w:cs="" w:cstheme="minorBidi" w:eastAsiaTheme="minorHAnsi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eastAsia="Calibri" w:cs="" w:cstheme="minorBidi" w:eastAsiaTheme="minorHAnsi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rFonts w:eastAsia="Calibri" w:cs="" w:cstheme="minorBidi" w:eastAsiaTheme="minorHAnsi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Calibri" w:cs="" w:cstheme="minorBidi" w:eastAsiaTheme="minorHAnsi"/>
              </w:rPr>
              <w:t>56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Calibri" w:cs="" w:cstheme="minorBidi" w:eastAsiaTheme="minorHAnsi"/>
              </w:rPr>
              <w:t>56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Calibri" w:cs="" w:cstheme="minorBidi" w:eastAsiaTheme="minorHAnsi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возможности подачи заявления в электронном виде, в том числе с использованием файлового хранилища РПГУ по следующим услугам:</w:t>
            </w:r>
          </w:p>
          <w:p>
            <w:pPr>
              <w:pStyle w:val="Normal"/>
              <w:spacing w:lineRule="auto" w:line="240" w:beforeAutospacing="1" w:afterAutospacing="1"/>
              <w:ind w:left="283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 получение разрешения на ввод объекта в эксплуатацию;</w:t>
            </w:r>
          </w:p>
          <w:p>
            <w:pPr>
              <w:pStyle w:val="Normal"/>
              <w:spacing w:lineRule="auto" w:line="240" w:beforeAutospacing="1" w:afterAutospacing="1"/>
              <w:ind w:left="283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 разрешение на строительство объекта капитального строительства;</w:t>
            </w:r>
          </w:p>
          <w:p>
            <w:pPr>
              <w:pStyle w:val="Normal"/>
              <w:spacing w:lineRule="auto" w:line="240" w:beforeAutospacing="1" w:afterAutospacing="1"/>
              <w:ind w:left="283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 продление срока действия разрешения на строительство;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 внесение изменений в разрешение на строительство.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Доля муниципальных услуг (получение градостроительного плана земельного участка, выдача разрешения на строительство и на ввод объекта в эксплуатацию), оказываемых в электронной форме, от общего количества предоставленных услуг, %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требований подачи заявлений в электронном виде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назначения, дни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Содействие развитию практики применения механизмов муниципально-частного партнерства, в том числе практики заключения концессионных соглашений, а также обеспечение и сохранение целевого использования муниципальных объектов недвижимого имущества в социальной сфере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и развитие нормативной правовой базы реализации проектов муниципально-частного партнерства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Принято постановление от 15.05.2018 № 235-р «Об утверждении перечня объектов жкх   планируемых к передаче по концессионным соглашениям»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 в муниципальной практике проектов с применением механизмов муниципально-частного партнерства:</w:t>
            </w:r>
          </w:p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 проекта -1,</w:t>
            </w:r>
          </w:p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Отсутствует - 0</w:t>
            </w:r>
          </w:p>
        </w:tc>
        <w:tc>
          <w:tcPr>
            <w:tcW w:w="492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3" w:type="dxa"/>
            <w:gridSpan w:val="2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переговоров, связанных с рассмотрением предложений о реализации проектов муниципально-частного партнерства в социальной сфере и сфере ЖКХ, на предмет оценки эффективности проекта и определения его сравнительного преимущества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Размещение информации о реализации проектов муниципально-частного партнерства на официальном сайте Администрации Вагайского муниципального района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Все принятые нормативные правовые акты размещены на официальном сайте Администрации Вагайского муниципального района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 по управлению муниципальным имуществом и земельным отношениям</w:t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мониторинга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мониторинга целевого использования муниципальных объектов недвижимого имущества в учреждениях культуры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 по управлению муниципальным имуществом и земельным отношениям</w:t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предложений негосударственным (немуниципальным) организациям о передаче муниципального недвижимого имущества, в том числе посредством заключения концессионного соглашения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Сформирован перечнь объектов муниципального имущества Вагайского муниципального района, в отношении которых планируется заключение концессионных соглашений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 по управлению муниципальным имуществом и земельным отношениям</w:t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Содействие развитию немуниципальных социально ориентированных некоммерческих организаций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о предоставлении услуг социально ориентированными некоммерческими организациями посредством размещения информации на Официальном сайте Администрации Вагайского муниципального района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АНО Вагайского района Центр развития и реабилитации «Виктория», АНО Центр культуры и досуга «Праздник»</w:t>
            </w:r>
          </w:p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После начала работы в 2019 году информация о предоставлении услуг будет опубликована на сайте</w:t>
            </w:r>
          </w:p>
        </w:tc>
        <w:tc>
          <w:tcPr>
            <w:tcW w:w="112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администрации (по культуре и молодежной политике) Вагайского муниципального района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МАУ «Комплексный центр социального обслуживания населения Вагайского района»</w:t>
            </w:r>
          </w:p>
        </w:tc>
        <w:tc>
          <w:tcPr>
            <w:tcW w:w="221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 в муниципальных программах Вагайского муниципального района мероприятий по привлечению социально ориентированных некоммерческих организаций (немуниципального сектора) к участию в культурно-массовых, образовательных и спортивных мероприятиях, в социальном обслуживании населения</w:t>
            </w:r>
          </w:p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 -1</w:t>
            </w:r>
          </w:p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Отсутствуют - 0</w:t>
            </w:r>
          </w:p>
        </w:tc>
        <w:tc>
          <w:tcPr>
            <w:tcW w:w="492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3" w:type="dxa"/>
            <w:gridSpan w:val="2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информационно-аналитической, консультационной и организационной, финансовой поддержки социально ориентированным некоммерческим организациям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Оказана консультационная и организационная поддержка при создании АНО  «Виктория», АНО «Праздник»</w:t>
            </w:r>
          </w:p>
        </w:tc>
        <w:tc>
          <w:tcPr>
            <w:tcW w:w="112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новых предпринимательских инициатив за счет проведения образовательных мероприятий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Содействие открытию на территории района 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 территории района в 2018 году функционировало Вагайское представительство Фонда «Инвестиционное агентство Тюменской области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 экономики</w:t>
            </w:r>
          </w:p>
        </w:tc>
        <w:tc>
          <w:tcPr>
            <w:tcW w:w="221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проведенных обучающих мероприятий, ед.</w:t>
            </w:r>
          </w:p>
        </w:tc>
        <w:tc>
          <w:tcPr>
            <w:tcW w:w="492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3" w:type="dxa"/>
            <w:gridSpan w:val="2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мероприятий, обеспечивающих возможности для поиска, отбора и обучения потенциальных предпринимателей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ind w:left="-2" w:hanging="0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Проведено 5 обучающих мероприятий для СМП: 2 очных семинара, проект «Школа фермера»,  2 семинара в режиме ВКС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 экономики</w:t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Повышение уровня защиты прав потребителей товаров, работ и услуг</w:t>
            </w:r>
          </w:p>
        </w:tc>
      </w:tr>
      <w:tr>
        <w:trPr>
          <w:trHeight w:val="555" w:hRule="atLeast"/>
        </w:trPr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II. Мероприятия по содействию развитию конкуренции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 социально значимых рынках Вагайского муниципального района</w:t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Рынок услуг дополнительного образования детей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информационно-просветительских мероприятий с целью повышения мотивации семей к вовлечению детей к занятию дополнительным образованием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2018 году в августе-сентябре проведена рекламная компания по привлечению детей к занятиям в учреждениях дополнительного образования: были распространены объявления, листовки, приглашения. Состоялись встречи с родителями, детьми, классными руководителями. В октябре, марте состоялось 5 мероприятий с приглашением родителей.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администрации района по культуре  молодежной политике и спорту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по развитию научно-технического творчества: районных конкурсов технического творчества, соревнований по спортивно-техническим видам спорта и т.д.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2018 году в центре детского творчества открылось 5  новых кружков . Проведено:   2 районных конкурса технического творчества и 1 соревнование по спортивно-техническим видам спорта. 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администрации района по культуре  молодежной политике и спорту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Рынок услуг жилищно-коммунального хозяйства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Внесение информации, предусмотренной действующим законодательством, в ГИС ЖКХ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Информация, предусмотренная действующим законодательством, внесена в ГИС ЖКХ</w:t>
            </w:r>
          </w:p>
        </w:tc>
        <w:tc>
          <w:tcPr>
            <w:tcW w:w="112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Объем информации, раскрываемой в соответствии с требованиями государственной информационной системы жилищно-коммунального хозяйства (ГИС ЖКХ), об отрасли жилищно-коммунального хозяйства, %</w:t>
            </w:r>
          </w:p>
        </w:tc>
        <w:tc>
          <w:tcPr>
            <w:tcW w:w="492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3" w:type="dxa"/>
            <w:gridSpan w:val="2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Регистрация органами местного самоуправления прав муниципальной собственности на бесхозяйные объекты коммунальной инфраструктуры.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мере выявления объектов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2018 году бесхозяйные объекты коммунальной инфраструктуры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количестве 13 ед</w:t>
            </w:r>
          </w:p>
        </w:tc>
        <w:tc>
          <w:tcPr>
            <w:tcW w:w="112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Утверждение перечня объектов для передачи объектов жилищно-коммунального хозяйства в концессию, после оформления права муниципальной собственности на такие объекты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2018-2020 гг.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Принято постановление от 15.05.2018 № 235-р «Об утверждении перечня объектов жкх   планируемых к передаче по концессионным соглашениям»</w:t>
            </w:r>
          </w:p>
        </w:tc>
        <w:tc>
          <w:tcPr>
            <w:tcW w:w="112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Утверждение муниципальных программ, направленных на развитие жилищно-коммунального хозяйства Сорокинского района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Постановлением администрации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Вагайского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муниципального района от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.2018 №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69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утверждена муниципальная программа «Основные направления развития жилищно-коммунального хозяй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ства Вагайского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 2019-2021годы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муниципальных программ, направленных на развитие жилищно-коммунального хозяйства Сорокинского района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2018 году реализованы мероприятия муниципальной программы «Основные направления развития жилищно-коммунального хозяйства 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Вагайского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Theme="minorHAnsi" w:cstheme="minorBidi" w:eastAsiaTheme="minorHAnsi" w:hAnsiTheme="minorHAnsi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Корректировка муниципальных программ, направленных на развитие жилищно-коммунального хозяйства 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агайского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Изменения в программы не вносились.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Рынок розничной торговли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и ведение торгового реестра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2018 году в торговый реестр внесено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объек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исключено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объектов розничной торговли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экономики</w:t>
            </w:r>
          </w:p>
        </w:tc>
        <w:tc>
          <w:tcPr>
            <w:tcW w:w="221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Фактический уровень обеспеченности населения площадью торговых объектов на 1000 жителей (кв.м./1000 чел.)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Вершинское с.п.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уларовское с.п.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ярмарок, проводимых на территории района, ед.</w:t>
            </w:r>
          </w:p>
        </w:tc>
        <w:tc>
          <w:tcPr>
            <w:tcW w:w="492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52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5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52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83" w:type="dxa"/>
            <w:gridSpan w:val="2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мониторинга имеющихся магазинов шаговой доступности. Оказание консультационной и методической поддержки хозяйствующим субъектам, открывающим объекты торговли шаговой доступности.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Theme="minorHAnsi" w:cstheme="minorBidi" w:eastAsiaTheme="minorHAnsi" w:hAnsiTheme="minorHAnsi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экономики</w:t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Мониторинг обеспеченности населения торговыми площадями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Theme="minorHAnsi" w:cstheme="minorBidi" w:eastAsiaTheme="minorHAnsi" w:hAnsiTheme="minorHAnsi"/>
              </w:rPr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экономики</w:t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совещаний, встреч, круглых столов с участием торговых организаций с целью выявления проблем и актуальных вопросов в развитии отрасли торговли. Оказание консультационной поддержки, содействие в организации обучающих семинаров для руководителей и специалистов организаций торговли по актуальным вопросам.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2018 году проведено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Совета, 2 круглых стола, 3 совещания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Отдел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экономики</w:t>
            </w:r>
          </w:p>
        </w:tc>
        <w:tc>
          <w:tcPr>
            <w:tcW w:w="221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vMerge w:val="continue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о проводимых районных, областных выставках, ярмарках на официальном сайте администрации района,</w:t>
            </w:r>
          </w:p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ярмарок на территории района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2018 году на официальном сайте администрации размещено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информационных материалов о проводимых районных и областных ярмарках. Организовано и проведено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ярмар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государственной поддержки отдаленных и труднодоступных местностей в части возмещения расходов на доставку товаров первой необходимости и оказания социально значимых видов бытовых услуг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Возмещение расходов на доставку товаров первой необходимости за 2018 год получили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юридическ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лиц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индивидуальн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ых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предпринимател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общей сумме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1506 ,0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тыс.рублей. 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III. Мероприятия по содействию развитию конкуренции</w:t>
            </w:r>
          </w:p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на приоритетных рынках 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Вагайского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>
        <w:trPr/>
        <w:tc>
          <w:tcPr>
            <w:tcW w:w="14602" w:type="dxa"/>
            <w:gridSpan w:val="11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Рынок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пищевой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продукции</w:t>
            </w:r>
          </w:p>
        </w:tc>
      </w:tr>
      <w:tr>
        <w:trPr/>
        <w:tc>
          <w:tcPr>
            <w:tcW w:w="28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условий для создания новых и развития существующих сельскохозяйственных предприятий 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2018 году в отрасли сельского хозяйства зарегистрировано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 КФХ по развитию молочно-мясного животноводства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2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сельского хозяйства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новых участников сельскохозяйственной отрасли, ед.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3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2,5р</w:t>
            </w:r>
          </w:p>
        </w:tc>
        <w:tc>
          <w:tcPr>
            <w:tcW w:w="15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288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83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asciiTheme="minorHAnsi" w:cstheme="minorBidi" w:eastAsiaTheme="minorHAnsi" w:hAnsiTheme="minorHAnsi"/>
              </w:rPr>
              <w:t>Проведение ярмарок</w:t>
            </w:r>
          </w:p>
        </w:tc>
        <w:tc>
          <w:tcPr>
            <w:tcW w:w="1656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asciiTheme="minorHAnsi" w:cstheme="minorBidi" w:eastAsiaTheme="minorHAnsi" w:hAnsiTheme="minorHAnsi"/>
              </w:rPr>
              <w:t>Согласно утвержденного плана</w:t>
            </w:r>
          </w:p>
        </w:tc>
        <w:tc>
          <w:tcPr>
            <w:tcW w:w="2604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asciiTheme="minorHAnsi" w:cstheme="minorBidi" w:eastAsiaTheme="minorHAnsi" w:hAnsiTheme="minorHAnsi"/>
              </w:rPr>
            </w:r>
          </w:p>
        </w:tc>
        <w:tc>
          <w:tcPr>
            <w:tcW w:w="1128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сельского хозяйства</w:t>
            </w:r>
          </w:p>
        </w:tc>
        <w:tc>
          <w:tcPr>
            <w:tcW w:w="2215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Theme="minorHAnsi" w:cstheme="minorBidi" w:eastAsiaTheme="minorHAnsi" w:hAnsiTheme="minorHAnsi"/>
              </w:rPr>
            </w:r>
          </w:p>
        </w:tc>
        <w:tc>
          <w:tcPr>
            <w:tcW w:w="492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asciiTheme="minorHAnsi" w:cstheme="minorBidi" w:eastAsiaTheme="minorHAnsi" w:hAnsiTheme="minorHAnsi"/>
              </w:rPr>
              <w:t>2</w:t>
            </w:r>
          </w:p>
        </w:tc>
        <w:tc>
          <w:tcPr>
            <w:tcW w:w="495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asciiTheme="minorHAnsi" w:cstheme="minorBidi" w:eastAsiaTheme="minorHAnsi" w:hAnsiTheme="minorHAnsi"/>
              </w:rPr>
              <w:t>2</w:t>
            </w:r>
          </w:p>
        </w:tc>
        <w:tc>
          <w:tcPr>
            <w:tcW w:w="1683" w:type="dxa"/>
            <w:gridSpan w:val="2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asciiTheme="minorHAnsi" w:cstheme="minorBidi" w:eastAsiaTheme="minorHAnsi" w:hAnsiTheme="minorHAnsi"/>
              </w:rPr>
              <w:t>100</w:t>
            </w:r>
          </w:p>
        </w:tc>
        <w:tc>
          <w:tcPr>
            <w:tcW w:w="1558" w:type="dxa"/>
            <w:tcBorders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tbl>
      <w:tblPr>
        <w:tblW w:w="14604" w:type="dxa"/>
        <w:jc w:val="left"/>
        <w:tblInd w:w="-44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tblCellMar>
          <w:top w:w="0" w:type="dxa"/>
          <w:left w:w="-22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05"/>
        <w:gridCol w:w="2466"/>
        <w:gridCol w:w="1656"/>
        <w:gridCol w:w="2604"/>
        <w:gridCol w:w="1129"/>
        <w:gridCol w:w="2215"/>
        <w:gridCol w:w="492"/>
        <w:gridCol w:w="495"/>
        <w:gridCol w:w="1683"/>
        <w:gridCol w:w="1559"/>
      </w:tblGrid>
      <w:tr>
        <w:trPr>
          <w:tblHeader w:val="true"/>
        </w:trPr>
        <w:tc>
          <w:tcPr>
            <w:tcW w:w="14604" w:type="dxa"/>
            <w:gridSpan w:val="10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Рынок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строительных услуг</w:t>
            </w:r>
          </w:p>
        </w:tc>
      </w:tr>
      <w:tr>
        <w:trPr>
          <w:tblHeader w:val="true"/>
        </w:trPr>
        <w:tc>
          <w:tcPr>
            <w:tcW w:w="30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4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условий для создания новых и развития существующих  предприятий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производству строительных материалов</w:t>
            </w:r>
          </w:p>
        </w:tc>
        <w:tc>
          <w:tcPr>
            <w:tcW w:w="165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2018 году не создавались</w:t>
            </w:r>
          </w:p>
        </w:tc>
        <w:tc>
          <w:tcPr>
            <w:tcW w:w="112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муниципального имущества, строительства, жкх и земельных отношений</w:t>
            </w:r>
          </w:p>
        </w:tc>
        <w:tc>
          <w:tcPr>
            <w:tcW w:w="22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проектов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новых участников </w:t>
            </w:r>
          </w:p>
        </w:tc>
        <w:tc>
          <w:tcPr>
            <w:tcW w:w="49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Theme="minorHAnsi" w:cstheme="minorBidi" w:eastAsiaTheme="minorHAnsi" w:hAnsiTheme="minorHAnsi"/>
              </w:rPr>
            </w:r>
          </w:p>
        </w:tc>
        <w:tc>
          <w:tcPr>
            <w:tcW w:w="15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  <w:insideH w:val="outset" w:sz="6" w:space="0" w:color="00000A"/>
              <w:insideV w:val="outset" w:sz="6" w:space="0" w:color="00000A"/>
            </w:tcBorders>
            <w:shd w:fill="auto" w:val="clear"/>
            <w:tcMar>
              <w:left w:w="-2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type w:val="nextPage"/>
      <w:pgSz w:orient="landscape" w:w="16838" w:h="11906"/>
      <w:pgMar w:left="283" w:right="283" w:header="0" w:top="283" w:footer="0" w:bottom="28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7a0b08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7a0b0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>
    <w:name w:val="Содержимое таблицы"/>
    <w:basedOn w:val="Normal"/>
    <w:qFormat/>
    <w:pPr/>
    <w:rPr/>
  </w:style>
  <w:style w:type="paragraph" w:styleId="Style20">
    <w:name w:val="Заголовок таблицы"/>
    <w:basedOn w:val="Style19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LibreOffice/5.1.3.2$Windows_X86_64 LibreOffice_project/644e4637d1d8544fd9f56425bd6cec110e49301b</Application>
  <Pages>13</Pages>
  <Words>1611</Words>
  <Characters>12354</Characters>
  <CharactersWithSpaces>13769</CharactersWithSpaces>
  <Paragraphs>230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2019-01-31T11:02:00Z</dcterms:created>
  <dc:creator>Степанов Алексей Владимирович</dc:creator>
  <dc:description/>
  <dc:language>ru-RU</dc:language>
  <cp:lastModifiedBy/>
  <dcterms:modified xsi:type="dcterms:W3CDTF">2019-02-04T14:03:34Z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