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bottom w:val="single" w:sz="12" w:space="1" w:color="00000A"/>
        </w:pBdr>
        <w:jc w:val="center"/>
        <w:rPr>
          <w:rFonts w:ascii="Arial" w:hAnsi="Arial" w:cs="Arial"/>
          <w:b/>
          <w:b/>
          <w:sz w:val="26"/>
          <w:szCs w:val="26"/>
        </w:rPr>
      </w:pPr>
      <w:r>
        <w:rPr>
          <w:rFonts w:cs="Arial" w:ascii="Arial" w:hAnsi="Arial"/>
          <w:b/>
          <w:color w:val="000000"/>
          <w:sz w:val="24"/>
          <w:szCs w:val="24"/>
        </w:rPr>
        <w:t>АДМИНИСТРАЦИЯ ВАГАЙСКОГО МУНИЦИПАЛЬНОГО РАЙОНА</w:t>
      </w:r>
    </w:p>
    <w:p>
      <w:pPr>
        <w:pStyle w:val="Normal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jc w:val="center"/>
        <w:rPr>
          <w:rFonts w:ascii="Arial" w:hAnsi="Arial" w:cs="Arial"/>
          <w:b/>
          <w:b/>
          <w:sz w:val="26"/>
          <w:szCs w:val="26"/>
        </w:rPr>
      </w:pPr>
      <w:r>
        <w:rPr>
          <w:rFonts w:cs="Arial" w:ascii="Arial" w:hAnsi="Arial"/>
          <w:b/>
          <w:color w:val="000000"/>
          <w:sz w:val="24"/>
          <w:szCs w:val="24"/>
        </w:rPr>
        <w:t>АНАЛИЗ</w:t>
      </w:r>
    </w:p>
    <w:p>
      <w:pPr>
        <w:pStyle w:val="Normal"/>
        <w:jc w:val="center"/>
        <w:rPr>
          <w:rFonts w:ascii="Arial" w:hAnsi="Arial"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Плана противодействия коррупции</w:t>
      </w:r>
    </w:p>
    <w:p>
      <w:pPr>
        <w:pStyle w:val="Normal"/>
        <w:jc w:val="center"/>
        <w:rPr>
          <w:rFonts w:ascii="Arial" w:hAnsi="Arial"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администрации Вагайского муниципального района</w:t>
      </w:r>
    </w:p>
    <w:p>
      <w:pPr>
        <w:pStyle w:val="Normal"/>
        <w:jc w:val="center"/>
        <w:rPr>
          <w:rFonts w:ascii="Arial" w:hAnsi="Arial"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за 2018 год</w:t>
      </w:r>
    </w:p>
    <w:p>
      <w:pPr>
        <w:pStyle w:val="Normal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jc w:val="center"/>
        <w:rPr>
          <w:rFonts w:ascii="Arial" w:hAnsi="Arial"/>
          <w:b/>
          <w:b/>
          <w:color w:val="000000"/>
          <w:sz w:val="24"/>
          <w:szCs w:val="24"/>
        </w:rPr>
      </w:pPr>
      <w:r>
        <w:rPr>
          <w:rFonts w:ascii="Arial" w:hAnsi="Arial"/>
          <w:b/>
          <w:color w:val="000000"/>
          <w:sz w:val="24"/>
          <w:szCs w:val="24"/>
        </w:rPr>
      </w:r>
    </w:p>
    <w:p>
      <w:pPr>
        <w:pStyle w:val="Normal"/>
        <w:spacing w:before="0" w:after="120"/>
        <w:ind w:firstLine="567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1. Задачи плана противодействия коррупции органа местного самоуправления (далее – План) </w:t>
      </w:r>
    </w:p>
    <w:p>
      <w:pPr>
        <w:pStyle w:val="Normal"/>
        <w:spacing w:before="0" w:after="120"/>
        <w:ind w:firstLine="567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1.1. Профилактика коррупционных правонарушений в органах местного самоуправления муниципальных образований Тюменской области.</w:t>
      </w:r>
    </w:p>
    <w:p>
      <w:pPr>
        <w:pStyle w:val="Normal"/>
        <w:spacing w:before="0" w:after="120"/>
        <w:ind w:firstLine="567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1.2. Выявление и пресечение коррупционных правонарушений. </w:t>
      </w:r>
    </w:p>
    <w:p>
      <w:pPr>
        <w:pStyle w:val="Normal"/>
        <w:spacing w:before="0" w:after="120"/>
        <w:ind w:firstLine="567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2. Ожидаемая результативность реализации антикоррупционных  мероприятий, предусмотренных Планом</w:t>
      </w:r>
    </w:p>
    <w:p>
      <w:pPr>
        <w:pStyle w:val="Normal"/>
        <w:spacing w:before="0" w:after="120"/>
        <w:ind w:firstLine="567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Реализация мероприятий, предусмотренных настоящим Планом, позволит минимизировать уровень коррупционных проявлений в обществе, что приведет к таким результатам, как:</w:t>
      </w:r>
    </w:p>
    <w:p>
      <w:pPr>
        <w:pStyle w:val="Normal"/>
        <w:spacing w:before="0" w:after="120"/>
        <w:ind w:firstLine="567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повышение качества и доступности муниципальных услуг для граждан;</w:t>
      </w:r>
    </w:p>
    <w:p>
      <w:pPr>
        <w:pStyle w:val="Normal"/>
        <w:spacing w:before="0" w:after="120"/>
        <w:ind w:firstLine="567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снижение издержек ведения бизнеса;</w:t>
      </w:r>
    </w:p>
    <w:p>
      <w:pPr>
        <w:pStyle w:val="Normal"/>
        <w:spacing w:before="0" w:after="120"/>
        <w:ind w:firstLine="567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повышение инвестиционной привлекательности муниципального образования;</w:t>
      </w:r>
    </w:p>
    <w:p>
      <w:pPr>
        <w:pStyle w:val="Normal"/>
        <w:spacing w:before="0" w:after="120"/>
        <w:ind w:firstLine="567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усиление финансовой дисциплины;</w:t>
      </w:r>
    </w:p>
    <w:p>
      <w:pPr>
        <w:pStyle w:val="Normal"/>
        <w:spacing w:before="0" w:after="120"/>
        <w:ind w:firstLine="567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повышение уровня правовой грамотности населения и уровня знаний в сфере информационно-коммуникационных технологий.</w:t>
      </w:r>
    </w:p>
    <w:p>
      <w:pPr>
        <w:pStyle w:val="ConsPlusNormal"/>
        <w:ind w:firstLine="540"/>
        <w:jc w:val="both"/>
        <w:rPr>
          <w:b/>
          <w:b/>
          <w:bCs/>
          <w:sz w:val="26"/>
          <w:szCs w:val="26"/>
        </w:rPr>
      </w:pPr>
      <w:r>
        <w:rPr>
          <w:rFonts w:ascii="Arial" w:hAnsi="Arial"/>
          <w:b/>
          <w:bCs/>
          <w:color w:val="000000"/>
          <w:sz w:val="24"/>
          <w:szCs w:val="24"/>
        </w:rPr>
        <w:t xml:space="preserve">3. Оценка эффективности реализации антикоррупционных мероприятий, реализуемых органом местного самоуправления муниципального образования Тюменской области. </w:t>
      </w:r>
    </w:p>
    <w:p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Arial" w:hAnsi="Arial"/>
          <w:color w:val="000000"/>
          <w:sz w:val="24"/>
          <w:szCs w:val="24"/>
        </w:rPr>
        <w:t>Критерием выполнения настоящего Плана является достижение плановых значений показателей реализации мероприятий.</w:t>
      </w:r>
    </w:p>
    <w:p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Arial" w:hAnsi="Arial"/>
          <w:color w:val="000000"/>
          <w:sz w:val="24"/>
          <w:szCs w:val="24"/>
        </w:rPr>
        <w:t>Для оценки эффективности реализации определены показатели реализации мероприятий Плана и их плановые значения в соответствующем году. Оценка эффективности реализации настоящего Плана определяется посредством сопоставления плановых и фактических значений показателей.</w:t>
      </w:r>
    </w:p>
    <w:p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Arial" w:hAnsi="Arial"/>
          <w:color w:val="000000"/>
          <w:sz w:val="24"/>
          <w:szCs w:val="24"/>
        </w:rPr>
        <w:t>Получение всей требуемой исходной информации предполагается с использованием различных источников: статистического наблюдения (государственного и ведомственного), сравнительного анализа, социологических исследований, имеющейся информации правоохранительных, судебных органов, контрольно-счетных и иных органов.</w:t>
      </w:r>
    </w:p>
    <w:p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Arial" w:hAnsi="Arial"/>
          <w:color w:val="000000"/>
          <w:sz w:val="24"/>
          <w:szCs w:val="24"/>
        </w:rPr>
        <w:t>Сбор информации, необходимой для оценки эффективности реализации настоящего Плана, должен осуществляться на основе отчетной информации исполнителей мероприятий настоящего Плана.</w:t>
      </w:r>
    </w:p>
    <w:p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Arial" w:hAnsi="Arial"/>
          <w:color w:val="000000"/>
          <w:sz w:val="24"/>
          <w:szCs w:val="24"/>
        </w:rPr>
        <w:t>Для расчетных показателей предлагаются следующие алгоритмы:</w:t>
      </w:r>
    </w:p>
    <w:p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Arial" w:hAnsi="Arial"/>
          <w:color w:val="000000"/>
          <w:sz w:val="24"/>
          <w:szCs w:val="24"/>
        </w:rPr>
        <w:t>1) для мероприятий, плановое значение показателей реализации которых установлено в виде доли, исчисляемой в %:</w:t>
      </w:r>
    </w:p>
    <w:p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Arial" w:hAnsi="Arial"/>
          <w:color w:val="000000"/>
          <w:sz w:val="24"/>
          <w:szCs w:val="24"/>
        </w:rPr>
        <w:t>достижение планового значения показателя свидетельствует об эффективности реализации соответствующего мероприятия;</w:t>
      </w:r>
    </w:p>
    <w:p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Arial" w:hAnsi="Arial"/>
          <w:color w:val="000000"/>
          <w:sz w:val="24"/>
          <w:szCs w:val="24"/>
        </w:rPr>
        <w:t>отклонение фактического значения показателя от планового в сторону уменьшения на величину менее 10% свидетельствует об удовлетворительной эффективности реализации соответствующего мероприятия;</w:t>
      </w:r>
    </w:p>
    <w:p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Arial" w:hAnsi="Arial"/>
          <w:color w:val="000000"/>
          <w:sz w:val="24"/>
          <w:szCs w:val="24"/>
        </w:rPr>
        <w:t>отклонение фактического значения показателя от планового в сторону уменьшения на величину от 10% до 20% свидетельствует о низкой эффективности реализации соответствующего мероприятия;</w:t>
      </w:r>
    </w:p>
    <w:p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Arial" w:hAnsi="Arial"/>
          <w:color w:val="000000"/>
          <w:sz w:val="24"/>
          <w:szCs w:val="24"/>
        </w:rPr>
        <w:t>отклонение фактического значения показателя от планового в сторону уменьшения на величину свыше 20% свидетельствует о неудовлетворительной эффективности реализации соответствующего мероприятия;</w:t>
      </w:r>
    </w:p>
    <w:p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Arial" w:hAnsi="Arial"/>
          <w:color w:val="000000"/>
          <w:sz w:val="24"/>
          <w:szCs w:val="24"/>
        </w:rPr>
        <w:t>2) для мероприятий, плановое значение показателей реализации которых установлено в количественном выражении:</w:t>
      </w:r>
    </w:p>
    <w:p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Arial" w:hAnsi="Arial"/>
          <w:color w:val="000000"/>
          <w:sz w:val="24"/>
          <w:szCs w:val="24"/>
        </w:rPr>
        <w:t>достижение планового значения показателя свидетельствует об эффективности реализации соответствующего мероприятия;</w:t>
      </w:r>
    </w:p>
    <w:p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Arial" w:hAnsi="Arial"/>
          <w:color w:val="000000"/>
          <w:sz w:val="24"/>
          <w:szCs w:val="24"/>
        </w:rPr>
        <w:t>отклонение фактического значения показателя от планового в сторону уменьшения на величину менее 1/4 свидетельствует об удовлетворительной эффективности реализации соответствующего мероприятия;</w:t>
      </w:r>
    </w:p>
    <w:p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Arial" w:hAnsi="Arial"/>
          <w:color w:val="000000"/>
          <w:sz w:val="24"/>
          <w:szCs w:val="24"/>
        </w:rPr>
        <w:t>отклонение фактического значения показателя от планового в сторону уменьшения на величину менее 1/3 свидетельствует о низкой эффективности реализации соответствующего мероприятия;</w:t>
      </w:r>
    </w:p>
    <w:p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Arial" w:hAnsi="Arial"/>
          <w:color w:val="000000"/>
          <w:sz w:val="24"/>
          <w:szCs w:val="24"/>
        </w:rPr>
        <w:t>отклонение фактического значения показателя от планового в сторону уменьшения на величину свыше 1/3 свидетельствует о неудовлетворительной эффективности реализации соответствующего мероприятия;</w:t>
      </w:r>
    </w:p>
    <w:p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Arial" w:hAnsi="Arial"/>
          <w:color w:val="000000"/>
          <w:sz w:val="24"/>
          <w:szCs w:val="24"/>
        </w:rPr>
        <w:t>3) для мероприятий, плановое значение показателей реализации которых не установлено либо не установлен сам показатель как таковой, оценка эффективности их реализации производится по результатам анализа информации исполнителей Плана о фактическом выполнении мероприятий с учетом имеющейся по данным вопросам информации правоохранительных, судебных органов, контрольно-счетных и иных органов.</w:t>
      </w:r>
    </w:p>
    <w:p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Arial" w:hAnsi="Arial"/>
          <w:color w:val="000000"/>
          <w:sz w:val="24"/>
          <w:szCs w:val="24"/>
        </w:rPr>
        <w:t>Доклад о результатах оценки эффективности реализации антикоррупционных мероприятий, реализуемых органом местного самоуправления муниципального образования Тюменской области, ежегодно, в сроки, определяемые планом, представляется руководителю органа местного самоуправления.</w:t>
      </w:r>
    </w:p>
    <w:p>
      <w:pPr>
        <w:pStyle w:val="ConsPlusNormal"/>
        <w:ind w:firstLine="54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ConsPlusNormal"/>
        <w:ind w:firstLine="54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ConsPlusNormal"/>
        <w:ind w:firstLine="540"/>
        <w:jc w:val="both"/>
        <w:rPr>
          <w:b/>
          <w:b/>
          <w:bCs/>
          <w:sz w:val="28"/>
          <w:szCs w:val="28"/>
        </w:rPr>
      </w:pPr>
      <w:r>
        <w:rPr>
          <w:rFonts w:ascii="Arial" w:hAnsi="Arial"/>
          <w:b/>
          <w:bCs/>
          <w:color w:val="000000"/>
          <w:sz w:val="24"/>
          <w:szCs w:val="24"/>
        </w:rPr>
        <w:t>4. Мероприятия Плана</w:t>
      </w:r>
    </w:p>
    <w:p>
      <w:pPr>
        <w:pStyle w:val="ConsPlusNormal"/>
        <w:ind w:firstLine="54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tbl>
      <w:tblPr>
        <w:tblW w:w="15384" w:type="dxa"/>
        <w:jc w:val="left"/>
        <w:tblInd w:w="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7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1209"/>
        <w:gridCol w:w="3058"/>
        <w:gridCol w:w="2638"/>
        <w:gridCol w:w="116"/>
        <w:gridCol w:w="2555"/>
        <w:gridCol w:w="3"/>
        <w:gridCol w:w="2651"/>
        <w:gridCol w:w="3"/>
        <w:gridCol w:w="1734"/>
        <w:gridCol w:w="3"/>
        <w:gridCol w:w="1413"/>
      </w:tblGrid>
      <w:tr>
        <w:trPr>
          <w:trHeight w:val="402" w:hRule="atLeast"/>
        </w:trPr>
        <w:tc>
          <w:tcPr>
            <w:tcW w:w="12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right="340" w:firstLine="737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Arial" w:hAnsi="Arial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0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Содержание мероприятия</w:t>
            </w:r>
          </w:p>
        </w:tc>
        <w:tc>
          <w:tcPr>
            <w:tcW w:w="275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Срок выполнения</w:t>
            </w:r>
          </w:p>
        </w:tc>
        <w:tc>
          <w:tcPr>
            <w:tcW w:w="25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65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5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Показатели реализации мероприятий</w:t>
            </w:r>
          </w:p>
        </w:tc>
      </w:tr>
      <w:tr>
        <w:trPr>
          <w:trHeight w:val="402" w:hRule="atLeast"/>
        </w:trPr>
        <w:tc>
          <w:tcPr>
            <w:tcW w:w="12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305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75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65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firstLine="41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Плановое значение на</w:t>
            </w:r>
          </w:p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Фактическое значение в </w:t>
            </w:r>
          </w:p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2018 г.</w:t>
            </w:r>
          </w:p>
        </w:tc>
      </w:tr>
      <w:tr>
        <w:trPr/>
        <w:tc>
          <w:tcPr>
            <w:tcW w:w="15383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Задача № 1. Профилактика коррупционных правонарушений в органах местного самоуправления Тюменской области</w:t>
            </w:r>
          </w:p>
        </w:tc>
      </w:tr>
      <w:tr>
        <w:trPr/>
        <w:tc>
          <w:tcPr>
            <w:tcW w:w="15383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1.1. Подготовка и принятие муниципальных правовых актов, направленных на противодействие коррупции, вопросы практики правоприменения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right="227" w:firstLine="737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Подготовка и принятие необходимых нормативных правовых и правовых актов органов местного самоуправления, направленных на противодействие коррупции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Органы местного самоуправления района и сельских поселений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Количество принятых органом местного самоуправления нормативных правовых и правовых актов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 НПА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right="227" w:firstLine="737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Внедрение института «оценки регулирующего воздействия» проектов муниципальных нормативных правовых актов в муниципальных районах и городских округах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С 01.01.2016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Юристы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3 НПА</w:t>
            </w:r>
          </w:p>
        </w:tc>
      </w:tr>
      <w:tr>
        <w:trPr>
          <w:trHeight w:val="4770" w:hRule="atLeast"/>
        </w:trPr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Рассмотрение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местного самоуправления,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Ежеквартально, по мере вступления в законную силу соответствующих судебных решений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Юристы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Количество отчетов (сводных докладов, информаций) по вопросам правоприменительной практики, рассмотренных органом местного самоуправления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5383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1.2. Проведение антикоррупционной экспертизы муниципальных нормативных правовых актов и их проектов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Проведение антикоррупционной экспертизы проектов муниципальных нормативных правовых актов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 факту подготовки проекта муниципального нормативного правового акта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Юристы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Доля проектов муниципальных нормативных правовых актов, подвергнутых антикоррупционной экспертизе, от общего количества проектов, поступивших на согласование в уполномоченные структурные подразделения органов местного самоуправления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48 НПА  </w:t>
            </w:r>
          </w:p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( в т.ч. 34 – адм., 17-Дума)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Взаимодействие с органами прокуратуры по вопросу обмена информацией о выявленных нарушениях по результатам проведения антикоррупционной экспертизы муниципальных нормативных правовых актов и их проектов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Органы местного самоуправления района и сельских поселений, юристы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проектывсех НПА направляются на антикоррупционную и правовую экспертизу в прокуратуру – 48 НПА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Проведение антикоррупционной экспертизы действующих муниципальных нормативных правовых актов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При проведении ревизий нормативных правовых актов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Юристы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Количество действующих муниципальных нормативных правовых актов, подвергнутых антикоррупционной экспертизе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Arial" w:hAnsi="Arial"/>
                <w:color w:val="000000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5383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1.3. Регламентация предоставляемых услуг (исполняемых функций)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Принятие административных регламентов на основе разработанных в качестве методической поддержки исполнительными органами государственной власти Тюменской области модельных административных регламентов исполнения органами местного самоуправления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 сроки, установленные при направлении административных регламентов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Органы местного самоуправления района и сельских поселений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Доля принятых административных регламентов на основе разработанных в качестве методической поддержки исполнительными органами государственной власти области модельных административных регламентов, в общем объеме направленных в орган местного самоуправления исполнительными органами в качестве методической поддержки модельных административных регламентов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100 %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91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принято новых – 5; в 10 действующих внесены изменения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Исполнение государственных функций и предоставление государственных услуг органами местного самоуправления в рамках переданных государственных полномочий в соответствии с административными регламентами, утвержденными исполнительными органами государственной власти Тюменской области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Органы местного самоуправления района и сельских поселений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Согласно Перечню – 10 услуг, из них  регламентированы 9 : 5 муниципальные НПА, 4 – исполнение по областным и федеральным НПА; 1 НПА в проекте (газификация)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Разработка проектов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 мере наделения органов местного самоуправления новыми полномочиями по предоставлению услуг (исполнению функций)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Органы местного самоуправления района и сельских поселений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Количество принятых органом местного самоуправления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 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Значение не установлено, предоставляется информация о фактическом исполнении</w:t>
            </w:r>
          </w:p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Новые административные регламенты разрабатываются на основании модельных, направленных АГТО</w:t>
            </w:r>
          </w:p>
        </w:tc>
      </w:tr>
      <w:tr>
        <w:trPr>
          <w:trHeight w:val="2715" w:hRule="atLeast"/>
        </w:trPr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Проведение правовой и антикоррупционной экспертизы проектов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 факту подготовки проектов административных регламентов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Юристы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Доля проектов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услуг, подвергнутых правовой и антикоррупционной экспертизе, от общего количества проектов, поступивших на согласование в уполномоченные структурные подразделения органов местного самоуправления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100 %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rial" w:hAnsi="Arial"/>
                <w:color w:val="000000"/>
                <w:sz w:val="24"/>
                <w:szCs w:val="24"/>
              </w:rPr>
              <w:t>100 %</w:t>
            </w:r>
          </w:p>
          <w:p>
            <w:pPr>
              <w:pStyle w:val="ConsPlusNormal"/>
              <w:ind w:hanging="0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(15 НПА)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Принятие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После учета всех обоснованных замечаний, полученных по результатам проведения правовой и антикоррупционной экспертизы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Органы местного самоуправления района и сельских поселений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Доля проектов административных регламентов, по которым учтены все обоснованные замечания, полученные по результатам правовой и антикоррупционной экспертизы, либо по которым подготовлены мотивированные возражения от общего количества проектов, подвергнутых правовой и антикоррупционной экспертизе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62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rial" w:hAnsi="Arial"/>
                <w:color w:val="000000"/>
                <w:sz w:val="24"/>
                <w:szCs w:val="24"/>
              </w:rPr>
              <w:t>по МК новые не принимались; по муниц.услугам - принято новых – 5; в 10 действующих внесены изменения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Внесение изменений в административные регламенты исполнения муниципальных функций при осуществлении муниципального контроля и административных регламентов предоставления муниципальных услуг в порядке, предусмотренном для их принятия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Органы местного самоуправления района и сельских поселений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Количество внесенных изменений в административные регламенты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62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изменения внесены в 2 НПА (земля, торговля)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Проведение внутреннего мониторинга качества предоставления муниципальных услуг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Органы местного самоуправления района и сельских поселений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Показатель не установлен, предоставляется информация о фактическом исполнении 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Web"/>
              <w:spacing w:before="280" w:after="284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Среднее число обращений заявителя для получения одной государственной (муниципальной) услуги (среднее по всем вместе предоставляемым услугам)- 2;</w:t>
            </w:r>
          </w:p>
          <w:p>
            <w:pPr>
              <w:pStyle w:val="NormalWeb"/>
              <w:spacing w:before="280" w:after="284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Среднее время ожидания в очереди при обращении – 15 мин.;</w:t>
            </w:r>
          </w:p>
          <w:p>
            <w:pPr>
              <w:pStyle w:val="NormalWeb"/>
              <w:spacing w:before="280" w:after="0"/>
              <w:rPr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Разработка и утверждение перечней муниципальных услуг (работ), оказываемых (выполняемых) муниципальными учреждениями - в сфере образования - приказ Управления образования от 08.10.2015 № 219-од;</w:t>
            </w:r>
          </w:p>
          <w:p>
            <w:pPr>
              <w:pStyle w:val="NormalWeb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в сфере соцзащиты и культуры – постановление администрации района</w:t>
            </w:r>
            <w:r>
              <w:rPr>
                <w:rFonts w:cs="Arial" w:ascii="Arial" w:hAnsi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 от 24.11.2015 № 114 ;</w:t>
            </w:r>
          </w:p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Доля муниципальных учреждений от общего числа муниципальных учреждений муниципального образования, оказывающих (выполняющих) услуги (работы), для которых утверждены перечни государственных услуг (работ) – 100 %</w:t>
            </w:r>
          </w:p>
        </w:tc>
      </w:tr>
      <w:tr>
        <w:trPr>
          <w:trHeight w:val="572" w:hRule="atLeast"/>
        </w:trPr>
        <w:tc>
          <w:tcPr>
            <w:tcW w:w="15383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1.4. Противодействие коррупции при осуществлении закупок для муниципальных нужд и распоряжении муниципальным имуществом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/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Направление муниципальных служащих для участия в обучающих мероприятиях по вопросам реализации Федерального </w:t>
            </w:r>
            <w:hyperlink r:id="rId2">
              <w:r>
                <w:rPr>
                  <w:rStyle w:val="Style11"/>
                  <w:rFonts w:ascii="Arial" w:hAnsi="Arial"/>
                  <w:color w:val="000000"/>
                  <w:sz w:val="24"/>
                  <w:szCs w:val="24"/>
                </w:rPr>
                <w:t>закона</w:t>
              </w:r>
            </w:hyperlink>
            <w:r>
              <w:rPr>
                <w:rFonts w:ascii="Arial" w:hAnsi="Arial"/>
                <w:color w:val="000000"/>
                <w:sz w:val="24"/>
                <w:szCs w:val="24"/>
              </w:rPr>
              <w:t xml:space="preserve"> от 05.04.2013 № 44-ФЗ «О контрактной системе в сфере закупок товаров, работ, услуг для обеспечения государственных и муниципальных нужд», проводимых Управлением государственных закупок Тюменской области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 соответствии со сроками проведения обучающих мероприятий, устанавливаемых Управлением государственных закупок Тюменской области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                             </w:t>
            </w: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Органы местного самоуправления района и сельских поселений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Количество муниципальных служащих, на которых возложены функции по осуществлению закупок товаров, работ и услуг для обеспечения муниципальных нужд, 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принявших участие в обучающих семинарах, указанных в графе 2 настоящей строки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3333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В 2018 году 20 муниципальных служащих  приняли участие в обучающем семинаре на тему : «Основные изменения и особенности закупок, осуществляемых в соответствии с Федеральным законом от 05.04.2013 № 44-ФЗ». Кроме этого, в вышеуказанном семинаре приняли участие 18 глав сельских поселений района 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Направление муниципальных служащих на получение дополнительного профессионального образования в сфере осуществления закупок для муниципальных нужд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 течение года в соответствии с заявкой органа местного самоуправления о закупке образовательных услуг по соответствующей теме, направляемой в Аппарат Губернатора Тюменской области ежегодно в срок до 1 сентября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Органы местного самоуправления </w:t>
            </w:r>
            <w:bookmarkStart w:id="0" w:name="__DdeLink__5899_1752915631"/>
            <w:r>
              <w:rPr>
                <w:rFonts w:ascii="Arial" w:hAnsi="Arial"/>
                <w:color w:val="000000"/>
                <w:sz w:val="24"/>
                <w:szCs w:val="24"/>
              </w:rPr>
              <w:t>района</w:t>
            </w:r>
            <w:bookmarkEnd w:id="0"/>
            <w:r>
              <w:rPr>
                <w:rFonts w:ascii="Arial" w:hAnsi="Arial"/>
                <w:color w:val="000000"/>
                <w:sz w:val="24"/>
                <w:szCs w:val="24"/>
              </w:rPr>
              <w:t xml:space="preserve"> и сельских поселений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Количество муниципальных служащих, на которых возложены функции по осуществлению закупок товаров, работ и услуг для обеспечения муниципальных нужд, 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обучившихся по программам дополнительного профессионального образования, указанным в графе 2 настоящей строки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3333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 2018 году по программе «Контрактная система в сфере закупок, работ, услуг для обеспечения государственных и муниципальных услуг» было обучено 3 муниципальных служащих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Принятие мер по повышению эффективности использования общественных (публичных) слушаний, предусмотренных земельным и градостроительным законодательством Российской Федерации, при рассмотрении вопросов о предоставлении земельных участков, находящихся в муниципальной собственности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муниципального имущества, строительства, ЖКХ и земельных отношений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 муниципальной собственности  нет зем.участков, на которые зарегистрировано право и которые могли бы быть предоставлены заявителю</w:t>
            </w:r>
          </w:p>
        </w:tc>
      </w:tr>
      <w:tr>
        <w:trPr/>
        <w:tc>
          <w:tcPr>
            <w:tcW w:w="15383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1.5. Использование информационно-коммуникационных технологий при предоставлении муниципальных услуг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Своевременное, полное размещение информации о предоставляемых муниципальных услугах на Официальном портале органов государственной власти Тюменской области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Информация размещается своевременно в полном объеме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Осуществление контроля за поддержанием в актуальном виде размещаемой на сайте информации ответственными лицами органов местного самоуправления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Актуальность информации о предоставляемых муниципальных услугах, размещенных  на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области)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Актуализация информации осуществляется своевременно в полном объеме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Осуществление мероприятий по переходу на межведомственное электронное взаимодействие при предоставлении муниципальных услуг населению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 системе ППУ  запросов:</w:t>
            </w:r>
          </w:p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-входящих от региональных ведомств – 601, из них обработано и закрыто 578;</w:t>
            </w:r>
          </w:p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- исходящих – 134 /126;</w:t>
            </w:r>
          </w:p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- исх. в федеральные структуры – 2463/2359;</w:t>
            </w:r>
          </w:p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- вх. Их федер.структур – 171/165;</w:t>
            </w:r>
          </w:p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-кастомные (+ к регион.) – вх.205/200;</w:t>
            </w:r>
          </w:p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исх.315/315</w:t>
            </w:r>
          </w:p>
          <w:p>
            <w:pPr>
              <w:pStyle w:val="ConsPlusNormal"/>
              <w:ind w:hanging="0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Arial" w:hAnsi="Arial"/>
                <w:color w:val="000000"/>
                <w:sz w:val="24"/>
                <w:szCs w:val="24"/>
              </w:rPr>
              <w:t>Федеральные – большая часть с Росреестром.</w:t>
            </w:r>
          </w:p>
          <w:p>
            <w:pPr>
              <w:pStyle w:val="ConsPlusNormal"/>
              <w:ind w:hanging="0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Arial" w:hAnsi="Arial"/>
                <w:color w:val="000000"/>
                <w:sz w:val="24"/>
                <w:szCs w:val="24"/>
              </w:rPr>
              <w:t>Региональные – вх.: от МФЦ, ОМСУ, кадастр;</w:t>
            </w:r>
          </w:p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исх.: ЗАГС, ПФР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Осуществление мероприятий по переходу на предоставление муниципальных услуг населению в электронном виде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/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В соответствии с Перечнем государственных и муниципальных услуг Тюменской области, разработанным в соответствии с </w:t>
            </w:r>
            <w:hyperlink r:id="rId3">
              <w:r>
                <w:rPr>
                  <w:rStyle w:val="Style11"/>
                  <w:rFonts w:ascii="Arial" w:hAnsi="Arial"/>
                  <w:color w:val="000000"/>
                  <w:sz w:val="24"/>
                  <w:szCs w:val="24"/>
                </w:rPr>
                <w:t>пунктом 2</w:t>
              </w:r>
            </w:hyperlink>
            <w:r>
              <w:rPr>
                <w:rFonts w:ascii="Arial" w:hAnsi="Arial"/>
                <w:color w:val="000000"/>
                <w:sz w:val="24"/>
                <w:szCs w:val="24"/>
              </w:rPr>
              <w:t xml:space="preserve"> распоряжения Правительства Тюменской области от 24.08.2015 № 1383-рп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62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 электронном виде  прошло ч\з ППУ всего 253 запроса по 18 услугам (в основном тестовые); на рег.портале услуг  34 услуги со значком «е», из них 18 прошли тестирование</w:t>
            </w:r>
          </w:p>
        </w:tc>
      </w:tr>
      <w:tr>
        <w:trPr/>
        <w:tc>
          <w:tcPr>
            <w:tcW w:w="15383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1.6. Мероприятия по противодействию коррупции в сфере прохождения муниципальной службы, в сфере трудовых отношений с руководителями муниципальных учреждений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Приоритетное замещение должностей муниципальной службы на конкурсной основе, формирование кадрового резерва для замещения вакантных должностей, формирование резерва управленческих кадров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Доля должностей муниципальной службы, замещенных на конкурсной основе, из кадрового резерва, резерва управленческих кадров, в общем объеме замещенных вакантных должностей муниципальной службы, на которые формируется кадровый резерв, резерв управленческих кадров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Сформированы и своевременно актуализируются кадровые резервы:</w:t>
            </w:r>
          </w:p>
          <w:p>
            <w:pPr>
              <w:pStyle w:val="ConsPlusNormal"/>
              <w:ind w:hanging="0"/>
              <w:rPr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1) для замещения вакантных должностей муниципальной службы (кроме управленческих) на 45 должностей - 67 человек;</w:t>
            </w:r>
          </w:p>
          <w:p>
            <w:pPr>
              <w:pStyle w:val="ConsPlusNormal"/>
              <w:ind w:hanging="0"/>
              <w:rPr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2) управленческих кадров на 13 должностей - 36 человек.</w:t>
            </w:r>
          </w:p>
          <w:p>
            <w:pPr>
              <w:pStyle w:val="ConsPlusNormal"/>
              <w:ind w:hanging="0"/>
              <w:rPr>
                <w:color w:val="FF3333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В 2018 году было замещено 7 вакантных должностей муниципальной службы, из них из кадрового резерва замещено 4 должности, и 3 должности были замещены без проведения конкурса, так как замещение было на период нахождения основного работника в отпуске по уходу за ребенком до 1,5 лет. 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Проведение в порядке, установленном действующим законодательством, проверок достоверности и полноты сведений, представляемых гражданами, претендующими на замещение должностей муниципальной службы Тюменской области, и муниципальными служащими Тюменской области, и соблюдения муниципальными служащими требований к служебному поведению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Доля проведенных проверок, указанных в графе 2 настоящей строки, от общего количества подлежащих к проведению в отчетном периоде проверок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color w:val="FF3333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Проверки не проводились, так как не было оснований для их проведения</w:t>
            </w:r>
          </w:p>
          <w:p>
            <w:pPr>
              <w:pStyle w:val="ConsPlusNormal"/>
              <w:ind w:hanging="0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Обеспечение контроля за соблюдением муниципальными служащими требований к служебному поведению, а также запретов и ограничений, представлением сведений о доходах, об имуществе и обязательствах имущественного характера, в том числе путем: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а) проведения учета и регистрации всей поступающей в орган информации о фактах несоблюдения муниципальными служащими требований к служебному поведению;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б) анализа поступающей в орган информации не только по существу поставленных вопросов, но и в части возможного обнаружения фактов несоблюдения муниципальными служащими требований к служебному поведению;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в) своевременного рассмотрения информации на заседаниях соответствующих комиссий;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г) составления работниками кадровых служб графиков представления сведений о доходах, об имуществе и обязательствах имущественного характера;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д) проведения анализа информации, указанной в справках о доходах, расходах, об имуществе и обязательствах имущественного характера;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е) проведения разъяснительной работы, бесед;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ж) другими способами с учетом поставленных задач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Информации о фактах несоблюдения муниципальными служащими требований к служебному поведению в комиссию не поступало.</w:t>
            </w:r>
          </w:p>
          <w:p>
            <w:pPr>
              <w:pStyle w:val="ConsPlusNormal"/>
              <w:ind w:hanging="0"/>
              <w:rPr/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За 2018 год было проведено 1 заседание комиссии на котором было рассмотрено уведомление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4"/>
                <w:szCs w:val="24"/>
              </w:rPr>
              <w:t xml:space="preserve"> главного специалиста (по организационной работе и кадрам) управления делами Карелиной Н.И. </w:t>
            </w:r>
            <w:r>
              <w:rPr>
                <w:rStyle w:val="Style13"/>
                <w:rFonts w:eastAsia="Arial" w:cs="Arial" w:ascii="Arial" w:hAnsi="Arial"/>
                <w:b w:val="false"/>
                <w:bCs w:val="false"/>
                <w:color w:val="000000"/>
                <w:sz w:val="24"/>
                <w:szCs w:val="24"/>
              </w:rPr>
              <w:t>о возможном наличии личной заинтересованности при исполнении должностных обязанностей, которая может привести к конфликту интересов.</w:t>
            </w:r>
          </w:p>
          <w:p>
            <w:pPr>
              <w:pStyle w:val="ConsPlusNormal"/>
              <w:ind w:hanging="0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 течение года проведено 10 семинаров по вопросам муниципальной службы, противодействия коррупции, представления справок о доходах, расходах.</w:t>
            </w:r>
          </w:p>
          <w:p>
            <w:pPr>
              <w:pStyle w:val="Normal"/>
              <w:spacing w:before="0" w:after="0"/>
              <w:ind w:hanging="0"/>
              <w:jc w:val="both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Муниципальными служащими, руководителями МАУ в законом установленные сроки были представлены справки о доходах, сведений о расходах не было. Специалистом по кадрам сформирован свод сведений о доходах за 2017 год и размещен на официальном сайте администрации района в полном объеме в законом установленные сроки.</w:t>
            </w:r>
          </w:p>
          <w:p>
            <w:pPr>
              <w:pStyle w:val="Normal"/>
              <w:spacing w:before="0" w:after="0"/>
              <w:ind w:hanging="0"/>
              <w:jc w:val="both"/>
              <w:rPr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В перечень по району внесены 62 должности, из них 33 должностей муниципальной службы - в администрации района и 29 – в 18 сельских поселениях, 19 сельское поселение (Первовагайское) с 01.01.2016 — структурное подразделение администрации района. 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Проведение работы по выявлению случаев возникновения конфликта интересов, одной из сторон которого являются муниципальные служащие, и принятие предусмотренных законодательством Российской Федерации мер по предотвращению и урегулированию конфликта интересов, в том числе путем проведения: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а) учета и регистрации всей поступающей в орган информации о фактах возможного конфликта интересов;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б) анализа поступающей в орган информации не только по существу поставленных вопросов, но и в части возможного обнаружения фактов наличия конфликта интересов, одной стороной которого является муниципальный служащий органа;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в) первичного анализа информации, указанной в справках о доходах, расходах, об имуществе и обязательствах имущественного характера;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г) разъяснительной работы, бесед;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д) другими способами с учетом поставленных задач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Муниципальными служа-щими было представлено 62  уведом-лений на имя главы района и глав сельс-ких поселе-ний о выпол-нении иной оплачиваемой работы (участие в работе ТИК, УИК выборной компании 2018 года), другой информации не поступало.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Проведение проверки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подарка, в порядке, предусмотренном нормативными правовыми актами Российской Федерации, применение соответствующих мер юридической ответственности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Доля проведенных проверок, указанных в графе 2 настоящей строки, от общего количества подлежащих к проведению в отчетном периоде проверок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Проверки не проводились, так как не было оснований для их проведения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25.1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Обеспечение контроля за применением предусмотренных законодательством мер юридической ответственности в каждом случае несоблюдения муниципальными служащими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Не позднее 10 рабочих дней со дня, следующего за днем поступления доклада о результатах проверки (доклада о результатах осуществления контроля за расходами), а в случае, если доклад рассматривался на заседании комиссии по соблюдению требований к служебному поведению и урегулированию конфликта интересов - не позднее 10 рабочих дней со дня, следующего за днем принятия комиссией соответствующего решения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Доля привлеченных к ответственности по результатам проверок (по результатам осуществления контроля за расходами) указанных в графе 2 настоящей строки, от общего количества подлежащих к привлечению к ответственности, на основании выводов, содержащихся в докладе по результатам проверки (докладе о результатах осуществления контроля за расходами), а в случае если доклад рассматривался на заседании комиссии по соблюдению требований к служебному поведению и урегулированию конфликта интересов - на основании выводов, содержащихся в протоколе заседания комиссии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100%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Настоящий показатель также считается достигнутым в случае, если лицо не было привлечено к ответственности по объективным причинам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Проверки не проводились, так как не было оснований для их проведения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Проведение работы по предоставлению муниципальными служащими, лицами, замещающими муниципальные должности, в случаях и в сроки, установленных действующим законодательством, сведений о своих расходах, а также о расходах своих супруги (супруга) и несовершеннолетних детей, в том числе путем: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а) анализа информации, указанной в справке о доходах, расходах, об имуществе и обязательствах имущественного характера;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б) проведения разъяснительной работы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 течение года проведено 10 семинаров по вопросам муниципальной службы, противодействия коррупции, представления справок о доходах, расходах.</w:t>
            </w:r>
          </w:p>
          <w:p>
            <w:pPr>
              <w:pStyle w:val="Normal"/>
              <w:spacing w:before="0" w:after="0"/>
              <w:ind w:hanging="0"/>
              <w:jc w:val="both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Муниципальными служащими в законом установленные сроки были представлены справки о доходах, сведений о расходах не было. Специалистом по кадрам сформирован свод сведений о доходах за 2017 год и размещен на официальном сайте администрации района в полном объеме в законом установленные сроки.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/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Направление в Аппарат Губернатора Тюменской области представленных муниципальными служащими, лицами, замещающими муниципальные должности, сведений о расходах, а также информации, предусмотренной </w:t>
            </w:r>
            <w:hyperlink r:id="rId4">
              <w:r>
                <w:rPr>
                  <w:rStyle w:val="Style11"/>
                  <w:rFonts w:ascii="Arial" w:hAnsi="Arial"/>
                  <w:color w:val="000000"/>
                  <w:sz w:val="24"/>
                  <w:szCs w:val="24"/>
                </w:rPr>
                <w:t>статьей 4</w:t>
              </w:r>
            </w:hyperlink>
            <w:r>
              <w:rPr>
                <w:rFonts w:ascii="Arial" w:hAnsi="Arial"/>
                <w:color w:val="000000"/>
                <w:sz w:val="24"/>
                <w:szCs w:val="24"/>
              </w:rPr>
              <w:t xml:space="preserve"> Федерального закона от 03.12.2012 № 230-ФЗ «О контроле за соответствием расходов лиц, замещающих государственные должности, и иных лиц их доходам», поступившей в отношении муниципальных служащих, лиц, замещающих муниципальные должности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 соответствии с установленными сроками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spacing w:before="0" w:after="0"/>
              <w:ind w:hanging="0"/>
              <w:jc w:val="both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Сведения в  Аппарат Губернатора Тюменской области не направлялись, так как не было оснований. Сведений о расходах муниципальных служащих и лиц, замещающих муниципальные должности в 2017 году не было.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Своевременное рассмотрение комиссиями по соблюдению требований к служебному поведению и урегулированию конфликта интересов вопросов соблюдения муниципальными служащими требований к служебному поведению, требований по урегулированию конфликта интересов, вопросов о непредставлении государственными служащими либо представлении недостоверных или неполных сведений о доходах, расходах, об имуществе и обязательствах имущественного характера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Доля рассмотренных на заседании комиссии по соблюдению требований к служебному поведению и урегулированию конфликта интересов вопросов, от общего объема подлежащих рассмотрению вопросов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3333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100%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Предание гласности каждого установленного факта коррупции и применение мер ответственности, предусмотренных законодательством Российской Федерации</w:t>
            </w:r>
          </w:p>
        </w:tc>
        <w:tc>
          <w:tcPr>
            <w:tcW w:w="11116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right="202" w:firstLine="720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пункт признан утратившим силу распоряжением от 07.06.2017 № 316-р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Обсуждение на заседаниях комиссии по соблюдению требований к служебному поведению и урегулированию конфликта интересов вопроса о состоянии работы комиссии, мерах по совершенствованию работы комиссии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Вопрос о состоянии работы комиссии, мерах по совершенство-ванию работы комиссии не рассматривался, так как фактов не соблюдения требований к служебному поведению муниципальных служащих и урегулированию конфликта интересов нет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30.1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Актуализация сведений, содержащихся в анкетах лиц, замещающих муниципальные должности и должности муниципальной службы, представляемых при назначении на должности и поступлении на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Ежегодно,</w:t>
            </w:r>
          </w:p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после внесения соответствующих изменений в федеральные нормативные правовые акты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Доля актуализированных сведений, содержащихся в анкетах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rFonts w:ascii="Arial" w:hAnsi="Arial" w:cs="Arial"/>
                <w:color w:val="FF3333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100%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30.2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Обеспечение принятия мер по повышению эффективности кадровой работы в части, касающейся ведения личных дел лиц, замещающих должности муниципальной службы, в соответствии с 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>Указом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 Президента РФ от 30.05.2005 N 609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3333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Кадровая работа в части, касающейся ведения личных дел лиц, замещающих должности муниципальной службы построена в соответствии с Указом Президента РФ от 30.05.2005 N 609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Организация своевременного представления муниципальными служащими и лицами, замещающими муниципальные должности, сведений о доходах, расходах, об имуществе и обязательствах имущественного характера и приема указанных сведений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 соответствии с установленными сроками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Доля своевременно представленных муниципальными служащими и лицами, замещающими муниципальные должности,  сведений о доходах, расходах, об имуществе и обязательствах имущественного характера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3333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100%</w:t>
            </w:r>
          </w:p>
          <w:p>
            <w:pPr>
              <w:pStyle w:val="Normal"/>
              <w:spacing w:before="0" w:after="0"/>
              <w:ind w:hanging="0"/>
              <w:jc w:val="both"/>
              <w:rPr>
                <w:color w:val="FF3333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Всего в райо-не  муници-пальных слу-жащих, сог-ласно Переч-ня 62 челове-ка. Все 62 своевременно представи-ли сведения о доходах за 2018 год. Лиц, замеща-ющих муни-ципальные должности 200, из них 181 депутат и 19- глава района и  главы сельских поселений. Все главы и 181 депутат представили сведения о доходах за 2017 год</w:t>
            </w:r>
            <w:bookmarkStart w:id="1" w:name="_GoBack1"/>
            <w:bookmarkEnd w:id="1"/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 в установленные законом сроки. Эти сведения хранятся в созданных при думах Комиссиях. 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Систематическое проведение оценок коррупционных рисков, возникающих при реализации функций органов местного самоуправления, и внесение уточнений в перечни должностей муниципальной службы, замещение которых связано с коррупционными рисками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Количество проведенных оценок коррупционных рисков, возникающих при реализации функций органов местного самоуправления, и внесенных уточнений в перечни должностей муниципальной службы, замещение которых связано с коррупционными рисками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 Перечень в 2018 году включены 36 должностей муниципальной службы.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Размещение сведений о доходах, расходах, об имуществе и обязательствах имущественного характера муниципальных служащих и лиц, замещающих муниципальные должности (в случаях, установленных нормативными правовыми актами Тюменской области), на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 соответствии с установленными требованиями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Доля сведений о доходах, расходах, об имуществе и обязательствах имущественного характера муниципальных служащих и лиц, замещающих муниципальные должности, размещенных на официальном сайте органа местного самоуправления (муниципального образования) и (или)  Официальном портале органов государственной власти Тюменской области, в общем объеме сведений о доходах, расходах, об имуществе и обязательствах имущественного характера, подлежащих размещению 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color w:val="FF3333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rFonts w:ascii="Arial" w:hAnsi="Arial" w:cs="Arial"/>
                <w:color w:val="FF3333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100%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Проведение обучающих совещаний для муниципальных служащих, в том числе специалистов кадровых служб, по вопросам реализации антикоррупционного законодательства, по соблюдению ограничений, запретов и по исполнению обязанностей, установленных в целях противодействия коррупции, в том числе ограничений, касающихся получения подарков, а также разъяснение положений законодательства Российской Федерации о противодействии коррупции, об увольнении в связи с утратой доверия, о порядке проверки сведений, представляемых муниципальными служащими, в соответствии с законодательством Российской Федерации о противодействии коррупции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Активизация работы по формированию отрицательного отношения муниципальных служащих к коррупции: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- проведение профилактических бесед с муниципальными служащими;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- мониторинг выявленных в сфере противодействия коррупции нарушений, их обобщение и доведение до сведения муниципальных служащих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Количество проведенных профилактических бесед с муниципальными служащими, количество выявленных посредством мониторинга нарушений в сфере противодействия коррупции, доведенных до сведения муниципальных служащих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color w:val="FF3333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Проведено 6 профилактических бесед с муниципальными служащими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Осуществление комплекса организационных, разъяснительных и иных мер по недопущению муниципальными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взятки: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- проведение профилактических бесед с муниципальными служащими;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- мониторинг выявленных в сфере противодействия коррупции нарушений, их обобщение и доведение до сведения муниципальных служащих</w:t>
            </w:r>
          </w:p>
        </w:tc>
        <w:tc>
          <w:tcPr>
            <w:tcW w:w="11116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пункт признан утратившим силу распоряжением от 07.06.2017 № 316-р</w:t>
            </w:r>
          </w:p>
        </w:tc>
      </w:tr>
      <w:tr>
        <w:trPr>
          <w:trHeight w:val="3435" w:hRule="atLeast"/>
        </w:trPr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Проведение мероприятий, направленных на формирование негативного отношения муниципальных служащих к дарению подарков в связи с их должностным положением или в связи с исполнением ими служебных обязанностей: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- проведение профилактических бесед с муниципальными служащими;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- мониторинг выявленных в сфере противодействия коррупции нарушений, их обобщение и доведение до сведения муниципальных служащих</w:t>
            </w:r>
          </w:p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Количество проведенных мероприятий, направленных на формирование негативного отношения муниципальных служащих к дарению подарков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3333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Проведено 6 профилактических бесед с муниципальными служащими</w:t>
            </w:r>
          </w:p>
        </w:tc>
      </w:tr>
      <w:tr>
        <w:trPr>
          <w:trHeight w:val="600" w:hRule="atLeast"/>
        </w:trPr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37.1.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Количество направленных в Аппарат Губернатора Тюменской области информаций о ходе реализации в органе местного самоуправления мероприятий по противодействию коррупции 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3333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Направление муниципальных служащих, в должностные обязанности которых входит работа по профилактике коррупционных и иных правонарушений, на повышение квалификации, стажировку, семинары по вопросам противодействия коррупции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Количество муниципальных служащих, на которых возложены функции по профилактике коррупционных и иных правонарушений, 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принявших участие в повышении квалификации, стажировке, семинарах по вопросам противодействии коррупции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3333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 2018 году по программе «Государственная политика в области противодействия коррупции» было обучено 3 муниципальных служащих, в должностные обязанности которых входит работа по профилактике коррупционных и иных правонарушений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Обеспечение представления гражданами, претендующими на замещение должностей руководителей муниципальных учреждений, сведений о доходах, об имуществе и обязательствах имущественного характера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Доля граждан, представивших сведения о доходах, об имуществе и обязательствах имущественного характера претендующих на замещение должностей руководителей муниципальных учреждений, в общем объеме граждан, претендующих на замещение должностей руководителей муниципальных учреждений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100%</w:t>
            </w:r>
          </w:p>
          <w:p>
            <w:pPr>
              <w:pStyle w:val="ConsPlus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В районе 11 муниципальных учреждений, руководители которых обязаны представлять сведения о доходах, об имуществе и обязательствах имущест-венного характера. Все 11 руко-водителей своевременно предста-вили 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справки о доходах за 2017 год. 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Проведение в порядке, установленном действующим законодательством, проверок достоверности и полноты сведений, представляемых гражданами, претендующими на замещение должностей руководителей муниципальных учреждений, и руководителями муниципальных учреждений сведений о доходах, об имуществе и обязательствах имущественного характера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Доля проведенных проверок, указанных в графе 2 настоящей строки, от общего количества подлежащих к проведению в отчетном периоде проверок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Проверки не проводились, так как не было оснований для их проведения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Организация своевременного представления руководителями муниципальных учреждений сведений о доходах, об имуществе и обязательствах имущественного характера и приема указанных сведений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 соответствии с установленными сроками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Управление делами администрации района, муниципальные учреждения 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Доля руководителей муниципальных учреждений, своевременно представивших сведения о доходах, об имуществе и обязательствах имущественного характера, в общем объеме руководителей муниципальных учреждений, представляющих сведения о доходах, об имуществе и обязательствах имущественного характера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100%</w:t>
            </w:r>
          </w:p>
          <w:p>
            <w:pPr>
              <w:pStyle w:val="ConsPlus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 xml:space="preserve">В районе 11 муниципальных учрежде-ний, (в том числе 7 обра-зовательных и  4 учрежде-ния культуры, спорта и социальной защиты населения), руководители которых обязаны представлять сведения о доходах, об имуществе и обязательствах имущест-венного характера. Все 11 руко-водителей своевременно предста-вили 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>справки о доходах за 2017 год.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Размещение сведений о доходах, об имуществе и обязательствах имущественного характера руководителей муниципальных учреждений на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 соответствии с установленными сроками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Управление делами администрации района, муниципальные учреждения 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Доля сведений о доходах, об имуществе и обязательствах имущественного характера руководителей муниципальных учреждений, подлежащих размещению и размещенных на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100%</w:t>
            </w:r>
          </w:p>
          <w:p>
            <w:pPr>
              <w:pStyle w:val="ConsPlus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Специалистом по кадрам и сформирован свод сведений о доходах  ру-ководителей за 2017 год и размещен на официальном сайте администрации района в полном объеме в законом установленные сроки.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Проведение обучающих совещаний для руководителей муниципальных учреждений, в том числе специалистов кадровых служб, по вопросам реализации обязанностей, установленных в целях противодействия коррупции, для руководителей муниципальных учреждений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Не реже одного раза в полугодие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Управление делами администрации района, муниципальные учреждения 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2 (в качестве консультативной помощи)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Обеспечение в пределах своей компетенции реализации муниципальными учреждениями обязанности принимать меры по предупреждению коррупции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Муниципальные учреждения,</w:t>
            </w:r>
          </w:p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управление делами администрации района (в части координации деятельности муниципальных учреждений)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Своевремен-но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bookmarkStart w:id="2" w:name="_GoBack"/>
            <w:bookmarkEnd w:id="2"/>
            <w:r>
              <w:rPr>
                <w:rFonts w:ascii="Arial" w:hAnsi="Arial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Актуализация перечня должностных обязанностей работников кадровых служб, ответственных за профилактику и противодействие коррупции, и закрепление в должностных регламентах сотрудников кадровых служб, ответственных за профилактику и противодействие коррупции и реализующих мероприятия настоящего Плана, показателей оценки эффективности реализации соответствующих мероприятий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Своевременно вносятся изменения в соответствии с действую-щим законо-дательством</w:t>
            </w:r>
          </w:p>
        </w:tc>
      </w:tr>
      <w:tr>
        <w:trPr/>
        <w:tc>
          <w:tcPr>
            <w:tcW w:w="15383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1.7. Информационная политика в сфере противодействия коррупции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Освещение в СМИ деятельности органов местного самоуправления области, в том числе разъяснение положений законодательства о противодействии коррупции, информирование о деятельности Совета по противодействию коррупции, публикация информационных материалов по вопросам противодействия коррупции в целях продолжения работы по формированию в обществе нетерпимого отношения к коррупционному поведению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Управление делами администрации района, СМИ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Количество материалов антикоррупционного характера, указанных в графе 2 настоящей строки, освещенных в СМИ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 районной газете размещено 8 материалов, в т.ч. 2 материала с заседаний Советов, 6 – представлены прокуратурой.Постоянные рубрики: «Борьба с коррупцией», «Прокуратура информирует».</w:t>
            </w:r>
          </w:p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На радио вышло – 10 материалов; на сайте – 10 матералов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Обеспечение своевременного и полного размещения информации об органах местного самоуправления на официальных интернет-сайтах органов местного самоуправления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информация об ОМСУ размещена на сайте, в т.ч. в формате открытых данных</w:t>
            </w:r>
          </w:p>
        </w:tc>
      </w:tr>
      <w:tr>
        <w:trPr/>
        <w:tc>
          <w:tcPr>
            <w:tcW w:w="15383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Задача № 2. Выявление и пресечение коррупционных правонарушений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Обеспечение проведения заседаний Советов по противодействию коррупции в соответствии с утверждаемыми планами работы Советов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Рассмотрение на заседании Совета по противодействию коррупции отчета о выполнении Плана противодействия коррупции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Количество рассмотренных на заседании Совета по противодействию коррупции отчетов о выполнении Плана противодействия коррупции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>1</w:t>
            </w:r>
          </w:p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(вопрос о выполнении плана рассмотрен на заседании Совета в 1 кв.2019)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Взаимодействие с судебными и правоохранительными органами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Проверка сообщений граждан и организаций о фактах совершения коррупционных правонарушений, в том числе поступающих через официальный интернет-сайт органа местного самоуправления, направление данной информации в правоохранительные органы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 факту возникновения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Управление делами администрации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сообщений не поступало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Представление в Департамент финансов Тюменской области отчетов о контрольной деятельности в рамках мониторинга организации муниципального финансового контроля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Контрольно-счетная палата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Количество направленных в Департамент финансов Тюменской области отчетов, указанных в графе 2 настоящей строки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2</w:t>
            </w:r>
          </w:p>
          <w:p>
            <w:pPr>
              <w:pStyle w:val="ConsPlusNormal"/>
              <w:ind w:hanging="62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(Бегишевское сп- март; Аксурское сп- июнь)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Принятие мер по устранению выявленных нарушений по результатам рассмотрения Департаментом финансов Тюменской области отчетов о контрольной деятельности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color w:val="FF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Органы местного самоуправления района и сельских поселений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Доля устраненных нарушений от общего объема выявленных нарушений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нарушений не выявлено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Проведение проверок целевого и эффективного расходования бюджетных средств муниципальными предприятиями (организациями) в сфере жилищно-коммунального хозяйства и использования муниципального имущества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 соответствии с утвержденным планом проверок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Органы местного самоуправления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62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проверок не было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Мониторинг муниципальных контрактов в сфере жилищно-коммунального хозяйства, срок реализации которых истекает в отчетном году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До истечения срока реализации соответствующих контрактов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Органы местного самоуправления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всего 52 контрактов, из них переходящих со сроком исполнения 2019 г. - 4</w:t>
            </w:r>
          </w:p>
        </w:tc>
      </w:tr>
      <w:tr>
        <w:trPr/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Передача информации о правонарушениях, выявленных в результате проведения мониторинга в соответствии с пунктом 54 настоящего Плана, в правоохранительные органы</w:t>
            </w:r>
          </w:p>
        </w:tc>
        <w:tc>
          <w:tcPr>
            <w:tcW w:w="2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 факту выявления</w:t>
            </w:r>
          </w:p>
        </w:tc>
        <w:tc>
          <w:tcPr>
            <w:tcW w:w="26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Органы местного самоуправления района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7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нет</w:t>
            </w:r>
          </w:p>
        </w:tc>
      </w:tr>
    </w:tbl>
    <w:p>
      <w:pPr>
        <w:pStyle w:val="Normal"/>
        <w:ind w:firstLine="539"/>
        <w:jc w:val="center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sectPr>
      <w:type w:val="nextPage"/>
      <w:pgSz w:orient="landscape" w:w="16838" w:h="11906"/>
      <w:pgMar w:left="1134" w:right="1134" w:header="0" w:top="1134" w:footer="0" w:bottom="56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0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d5425"/>
    <w:pPr>
      <w:widowControl/>
      <w:bidi w:val="0"/>
      <w:spacing w:lineRule="auto" w:line="24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link w:val="10"/>
    <w:uiPriority w:val="9"/>
    <w:qFormat/>
    <w:rsid w:val="008c580f"/>
    <w:pPr>
      <w:keepNext/>
      <w:widowControl w:val="false"/>
      <w:spacing w:before="240" w:after="6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  <w:lang w:eastAsia="en-US"/>
    </w:rPr>
  </w:style>
  <w:style w:type="paragraph" w:styleId="2">
    <w:name w:val="Заголовок 2"/>
    <w:basedOn w:val="Normal"/>
    <w:link w:val="20"/>
    <w:semiHidden/>
    <w:unhideWhenUsed/>
    <w:qFormat/>
    <w:rsid w:val="003d5425"/>
    <w:pPr>
      <w:keepNext/>
      <w:jc w:val="center"/>
      <w:outlineLvl w:val="1"/>
    </w:pPr>
    <w:rPr>
      <w:b/>
      <w:bCs/>
      <w:i/>
      <w:iCs/>
      <w:sz w:val="26"/>
    </w:rPr>
  </w:style>
  <w:style w:type="paragraph" w:styleId="8">
    <w:name w:val="Заголовок 8"/>
    <w:basedOn w:val="Normal"/>
    <w:link w:val="80"/>
    <w:semiHidden/>
    <w:unhideWhenUsed/>
    <w:qFormat/>
    <w:rsid w:val="003d5425"/>
    <w:pPr>
      <w:keepNext/>
      <w:widowControl w:val="false"/>
      <w:jc w:val="both"/>
      <w:outlineLvl w:val="7"/>
    </w:pPr>
    <w:rPr>
      <w:sz w:val="26"/>
      <w:szCs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8c580f"/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character" w:styleId="21" w:customStyle="1">
    <w:name w:val="Заголовок 2 Знак"/>
    <w:basedOn w:val="DefaultParagraphFont"/>
    <w:link w:val="2"/>
    <w:semiHidden/>
    <w:qFormat/>
    <w:rsid w:val="003d5425"/>
    <w:rPr>
      <w:rFonts w:eastAsia="Times New Roman" w:cs="Times New Roman"/>
      <w:b/>
      <w:bCs/>
      <w:i/>
      <w:iCs/>
      <w:sz w:val="26"/>
      <w:szCs w:val="24"/>
      <w:lang w:eastAsia="ru-RU"/>
    </w:rPr>
  </w:style>
  <w:style w:type="character" w:styleId="81" w:customStyle="1">
    <w:name w:val="Заголовок 8 Знак"/>
    <w:basedOn w:val="DefaultParagraphFont"/>
    <w:link w:val="8"/>
    <w:semiHidden/>
    <w:qFormat/>
    <w:rsid w:val="003d5425"/>
    <w:rPr>
      <w:rFonts w:eastAsia="Times New Roman" w:cs="Times New Roman"/>
      <w:sz w:val="26"/>
      <w:szCs w:val="18"/>
      <w:lang w:eastAsia="ru-RU"/>
    </w:rPr>
  </w:style>
  <w:style w:type="character" w:styleId="Style11" w:customStyle="1">
    <w:name w:val="Интернет-ссылка"/>
    <w:basedOn w:val="DefaultParagraphFont"/>
    <w:rsid w:val="004f2e1f"/>
    <w:rPr>
      <w:color w:val="0000FF"/>
      <w:u w:val="single"/>
    </w:rPr>
  </w:style>
  <w:style w:type="character" w:styleId="Style12" w:customStyle="1">
    <w:name w:val="Текст выноски Знак"/>
    <w:basedOn w:val="DefaultParagraphFont"/>
    <w:uiPriority w:val="99"/>
    <w:semiHidden/>
    <w:qFormat/>
    <w:rsid w:val="00a318a2"/>
    <w:rPr>
      <w:rFonts w:ascii="Tahoma" w:hAnsi="Tahoma" w:eastAsia="Times New Roman" w:cs="Tahoma"/>
      <w:sz w:val="16"/>
      <w:szCs w:val="16"/>
      <w:lang w:eastAsia="ru-RU"/>
    </w:rPr>
  </w:style>
  <w:style w:type="character" w:styleId="ListLabel1" w:customStyle="1">
    <w:name w:val="ListLabel 1"/>
    <w:qFormat/>
    <w:rPr>
      <w:rFonts w:cs="OpenSymbol"/>
    </w:rPr>
  </w:style>
  <w:style w:type="character" w:styleId="ListLabel2" w:customStyle="1">
    <w:name w:val="ListLabel 2"/>
    <w:qFormat/>
    <w:rPr>
      <w:rFonts w:cs="OpenSymbol"/>
    </w:rPr>
  </w:style>
  <w:style w:type="character" w:styleId="ListLabel3" w:customStyle="1">
    <w:name w:val="ListLabel 3"/>
    <w:qFormat/>
    <w:rPr>
      <w:rFonts w:cs="OpenSymbol"/>
    </w:rPr>
  </w:style>
  <w:style w:type="character" w:styleId="ListLabel4" w:customStyle="1">
    <w:name w:val="ListLabel 4"/>
    <w:qFormat/>
    <w:rPr>
      <w:rFonts w:cs="OpenSymbol"/>
    </w:rPr>
  </w:style>
  <w:style w:type="character" w:styleId="ListLabel5" w:customStyle="1">
    <w:name w:val="ListLabel 5"/>
    <w:qFormat/>
    <w:rPr>
      <w:rFonts w:cs="OpenSymbol"/>
    </w:rPr>
  </w:style>
  <w:style w:type="character" w:styleId="ListLabel6" w:customStyle="1">
    <w:name w:val="ListLabel 6"/>
    <w:qFormat/>
    <w:rPr>
      <w:rFonts w:cs="OpenSymbol"/>
    </w:rPr>
  </w:style>
  <w:style w:type="character" w:styleId="ListLabel7" w:customStyle="1">
    <w:name w:val="ListLabel 7"/>
    <w:qFormat/>
    <w:rPr>
      <w:rFonts w:cs="OpenSymbol"/>
    </w:rPr>
  </w:style>
  <w:style w:type="character" w:styleId="ListLabel8" w:customStyle="1">
    <w:name w:val="ListLabel 8"/>
    <w:qFormat/>
    <w:rPr>
      <w:rFonts w:cs="OpenSymbol"/>
    </w:rPr>
  </w:style>
  <w:style w:type="character" w:styleId="ListLabel9" w:customStyle="1">
    <w:name w:val="ListLabel 9"/>
    <w:qFormat/>
    <w:rPr>
      <w:rFonts w:cs="OpenSymbol"/>
    </w:rPr>
  </w:style>
  <w:style w:type="character" w:styleId="Style13">
    <w:name w:val="Основной шрифт абзаца"/>
    <w:qFormat/>
    <w:rPr/>
  </w:style>
  <w:style w:type="paragraph" w:styleId="Style14" w:customStyle="1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Заглавие"/>
    <w:basedOn w:val="Normal"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542bef"/>
    <w:pPr>
      <w:spacing w:before="0" w:after="0"/>
      <w:ind w:left="720" w:hanging="0"/>
      <w:contextualSpacing/>
    </w:pPr>
    <w:rPr/>
  </w:style>
  <w:style w:type="paragraph" w:styleId="ConsPlusNormal" w:customStyle="1">
    <w:name w:val="ConsPlusNormal"/>
    <w:qFormat/>
    <w:rsid w:val="00b5103f"/>
    <w:pPr>
      <w:widowControl w:val="false"/>
      <w:bidi w:val="0"/>
      <w:spacing w:lineRule="auto" w:line="240"/>
      <w:ind w:firstLine="720"/>
      <w:jc w:val="left"/>
    </w:pPr>
    <w:rPr>
      <w:rFonts w:ascii="Arial" w:hAnsi="Arial" w:eastAsia="Times New Roman" w:cs="Arial"/>
      <w:color w:val="00000A"/>
      <w:sz w:val="24"/>
      <w:szCs w:val="20"/>
      <w:lang w:val="ru-RU" w:eastAsia="ru-RU" w:bidi="ar-SA"/>
    </w:rPr>
  </w:style>
  <w:style w:type="paragraph" w:styleId="ConsPlusTitle" w:customStyle="1">
    <w:name w:val="ConsPlusTitle"/>
    <w:qFormat/>
    <w:rsid w:val="00b5103f"/>
    <w:pPr>
      <w:widowControl w:val="false"/>
      <w:bidi w:val="0"/>
      <w:spacing w:lineRule="auto" w:line="240"/>
      <w:jc w:val="left"/>
    </w:pPr>
    <w:rPr>
      <w:rFonts w:ascii="Arial" w:hAnsi="Arial" w:eastAsia="Times New Roman" w:cs="Arial"/>
      <w:b/>
      <w:bCs/>
      <w:color w:val="00000A"/>
      <w:sz w:val="24"/>
      <w:szCs w:val="20"/>
      <w:lang w:val="ru-RU" w:eastAsia="ru-RU" w:bidi="ar-SA"/>
    </w:rPr>
  </w:style>
  <w:style w:type="paragraph" w:styleId="Style20" w:customStyle="1">
    <w:name w:val="Знак"/>
    <w:basedOn w:val="Normal"/>
    <w:qFormat/>
    <w:rsid w:val="00b5103f"/>
    <w:pPr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NoSpacing">
    <w:name w:val="No Spacing"/>
    <w:uiPriority w:val="1"/>
    <w:qFormat/>
    <w:rsid w:val="00b5103f"/>
    <w:pPr>
      <w:widowControl/>
      <w:bidi w:val="0"/>
      <w:spacing w:lineRule="auto" w:line="24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Recv15" w:customStyle="1">
    <w:name w:val="recv15"/>
    <w:qFormat/>
    <w:rsid w:val="004f2e1f"/>
    <w:pPr>
      <w:widowControl/>
      <w:bidi w:val="0"/>
      <w:spacing w:lineRule="auto" w:line="360" w:before="60" w:after="60"/>
      <w:jc w:val="left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paragraph" w:styleId="Style31" w:customStyle="1">
    <w:name w:val="Style3"/>
    <w:basedOn w:val="Normal"/>
    <w:qFormat/>
    <w:rsid w:val="004f2e1f"/>
    <w:pPr>
      <w:widowControl w:val="false"/>
      <w:spacing w:lineRule="exact" w:line="278"/>
      <w:ind w:firstLine="350"/>
      <w:jc w:val="both"/>
    </w:pPr>
    <w:rPr/>
  </w:style>
  <w:style w:type="paragraph" w:styleId="BalloonText">
    <w:name w:val="Balloon Text"/>
    <w:basedOn w:val="Normal"/>
    <w:uiPriority w:val="99"/>
    <w:semiHidden/>
    <w:unhideWhenUsed/>
    <w:qFormat/>
    <w:rsid w:val="00a318a2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906ad0"/>
    <w:pPr>
      <w:spacing w:beforeAutospacing="1" w:after="119"/>
    </w:pPr>
    <w:rPr>
      <w:color w:val="00000A"/>
    </w:rPr>
  </w:style>
  <w:style w:type="paragraph" w:styleId="Style21">
    <w:name w:val="Содержимое таблицы"/>
    <w:basedOn w:val="Normal"/>
    <w:qFormat/>
    <w:pPr/>
    <w:rPr/>
  </w:style>
  <w:style w:type="paragraph" w:styleId="Style22">
    <w:name w:val="Заголовок таблицы"/>
    <w:basedOn w:val="Style21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66B65A0CA2CD6A1BD58ED9B3D132104D3612E44341F3D8D805EB64567B23n0H" TargetMode="External"/><Relationship Id="rId3" Type="http://schemas.openxmlformats.org/officeDocument/2006/relationships/hyperlink" Target="consultantplus://offline/ref=66B65A0CA2CD6A1BD58EC7BEC75E4E423110BC4D4CF1D68C5DB43F0B2C39A4414D7CC2941D38192873FC502AnDH" TargetMode="External"/><Relationship Id="rId4" Type="http://schemas.openxmlformats.org/officeDocument/2006/relationships/hyperlink" Target="consultantplus://offline/ref=66B65A0CA2CD6A1BD58ED9B3D132104D3613EA4342F2D8D805EB64567B30AE160A339BD65935182B27n3H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71967-5AF4-4529-9F82-6125BB6FA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Application>LibreOffice/5.1.1.3$Windows_X86_64 LibreOffice_project/89f508ef3ecebd2cfb8e1def0f0ba9a803b88a6d</Application>
  <Pages>47</Pages>
  <Words>5219</Words>
  <Characters>39894</Characters>
  <CharactersWithSpaces>48447</CharactersWithSpaces>
  <Paragraphs>496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2017-10-10T06:17:00Z</dcterms:created>
  <dc:creator>User</dc:creator>
  <dc:description/>
  <dc:language>ru-RU</dc:language>
  <cp:lastModifiedBy/>
  <cp:lastPrinted>2017-10-06T11:55:00Z</cp:lastPrinted>
  <dcterms:modified xsi:type="dcterms:W3CDTF">2019-01-25T09:20:55Z</dcterms:modified>
  <cp:revision>60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