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СВОДНЫЙ ОТЧЕТ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о проведении оценки регулирующего воздействия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  <w:szCs w:val="24"/>
        </w:rPr>
        <w:t>проект</w:t>
      </w: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>а акта (с дополнением)</w:t>
      </w:r>
    </w:p>
    <w:p>
      <w:pPr>
        <w:pStyle w:val="Normal"/>
        <w:ind w:firstLine="708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sz w:val="24"/>
          <w:szCs w:val="24"/>
        </w:rPr>
        <w:t>Наименование нормативного правового акта</w:t>
      </w: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sz w:val="24"/>
          <w:szCs w:val="24"/>
          <w:u w:val="single"/>
        </w:rPr>
        <w:t>Проект постановления «</w:t>
      </w:r>
      <w:r>
        <w:rPr>
          <w:rFonts w:eastAsia="Times New Roman" w:cs="Arial" w:ascii="Arial" w:hAnsi="Arial"/>
          <w:b w:val="false"/>
          <w:bCs/>
          <w:i w:val="false"/>
          <w:iCs w:val="false"/>
          <w:sz w:val="24"/>
          <w:szCs w:val="24"/>
          <w:u w:val="single"/>
          <w:lang w:eastAsia="ru-RU"/>
        </w:rPr>
        <w:t xml:space="preserve">Об утверждении регламента </w:t>
      </w:r>
      <w:r>
        <w:rPr>
          <w:rFonts w:cs="Arial" w:ascii="Arial" w:hAnsi="Arial"/>
          <w:b w:val="false"/>
          <w:bCs w:val="false"/>
          <w:i w:val="false"/>
          <w:iCs w:val="false"/>
          <w:sz w:val="24"/>
          <w:szCs w:val="24"/>
          <w:u w:val="single"/>
        </w:rPr>
        <w:t xml:space="preserve">сопровождения инвестиционных проектов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z w:val="24"/>
          <w:szCs w:val="24"/>
          <w:u w:val="single"/>
          <w:lang w:eastAsia="ru-RU"/>
        </w:rPr>
        <w:t>в Вагайском муниципальном районе</w:t>
      </w:r>
      <w:r>
        <w:rPr>
          <w:rFonts w:cs="Arial" w:ascii="Arial" w:hAnsi="Arial"/>
          <w:b w:val="false"/>
          <w:bCs w:val="false"/>
          <w:sz w:val="24"/>
          <w:szCs w:val="24"/>
          <w:u w:val="none"/>
        </w:rPr>
        <w:t>».</w:t>
      </w:r>
    </w:p>
    <w:p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Степень регулирующего воздействия проекта нормативного правового акта: </w:t>
      </w:r>
    </w:p>
    <w:p>
      <w:pPr>
        <w:pStyle w:val="Normal"/>
        <w:numPr>
          <w:ilvl w:val="0"/>
          <w:numId w:val="0"/>
        </w:numPr>
        <w:tabs>
          <w:tab w:val="left" w:pos="1134" w:leader="none"/>
        </w:tabs>
        <w:ind w:left="1068" w:hanging="0"/>
        <w:jc w:val="both"/>
        <w:rPr/>
      </w:pPr>
      <w:r>
        <w:rPr>
          <w:rFonts w:cs="Arial" w:ascii="Arial" w:hAnsi="Arial"/>
          <w:sz w:val="24"/>
          <w:szCs w:val="24"/>
          <w:u w:val="single"/>
        </w:rPr>
        <w:t>Средняя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tabs>
          <w:tab w:val="left" w:pos="1134" w:leader="none"/>
        </w:tabs>
        <w:ind w:left="851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проблемы: </w:t>
      </w:r>
    </w:p>
    <w:p>
      <w:pPr>
        <w:pStyle w:val="Normal"/>
        <w:ind w:left="0" w:right="0" w:firstLine="540"/>
        <w:jc w:val="both"/>
        <w:rPr/>
      </w:pPr>
      <w:r>
        <w:rPr>
          <w:rFonts w:cs="Arial" w:ascii="Arial" w:hAnsi="Arial"/>
          <w:sz w:val="26"/>
          <w:szCs w:val="26"/>
          <w:u w:val="single"/>
        </w:rPr>
        <w:t>Оказание информационно-консультационного и организационного содействия субъектам предпринимательской и инвестиционной деятельности, реализующим и (или) планирующим реализацию инвестиционных проектов на территории  Вагайского района</w:t>
      </w:r>
    </w:p>
    <w:p>
      <w:pPr>
        <w:pStyle w:val="Style20"/>
        <w:tabs>
          <w:tab w:val="left" w:pos="1134" w:leader="none"/>
        </w:tabs>
        <w:ind w:left="708" w:firstLine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>Цели предлагаемого регулирования:</w:t>
      </w:r>
    </w:p>
    <w:p>
      <w:pPr>
        <w:pStyle w:val="Normal"/>
        <w:numPr>
          <w:ilvl w:val="0"/>
          <w:numId w:val="0"/>
        </w:numPr>
        <w:tabs>
          <w:tab w:val="left" w:pos="1134" w:leader="none"/>
        </w:tabs>
        <w:ind w:left="1068" w:hanging="0"/>
        <w:jc w:val="both"/>
        <w:rPr>
          <w:rFonts w:ascii="Arial" w:hAnsi="Arial" w:cs="Arial"/>
          <w:sz w:val="24"/>
          <w:szCs w:val="24"/>
          <w:highlight w:val="yellow"/>
          <w:u w:val="single"/>
        </w:rPr>
      </w:pPr>
      <w:r>
        <w:rPr>
          <w:rFonts w:cs="Arial" w:ascii="Arial" w:hAnsi="Arial"/>
          <w:sz w:val="24"/>
          <w:szCs w:val="24"/>
          <w:highlight w:val="yellow"/>
          <w:u w:val="single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Описание предлагаемого регулирования и иных возможных способов решения проблемы: </w:t>
      </w:r>
    </w:p>
    <w:p>
      <w:pPr>
        <w:pStyle w:val="Normal"/>
        <w:tabs>
          <w:tab w:val="left" w:pos="1134" w:leader="none"/>
        </w:tabs>
        <w:ind w:left="0" w:hanging="0"/>
        <w:jc w:val="both"/>
        <w:rPr/>
      </w:pPr>
      <w:r>
        <w:rPr>
          <w:rFonts w:cs="Arial" w:ascii="Arial" w:hAnsi="Arial"/>
          <w:sz w:val="24"/>
          <w:szCs w:val="24"/>
          <w:u w:val="single"/>
        </w:rPr>
        <w:t>Сопровождение инвестиционных проектов.</w:t>
      </w:r>
    </w:p>
    <w:p>
      <w:pPr>
        <w:pStyle w:val="Style20"/>
        <w:tabs>
          <w:tab w:val="left" w:pos="1134" w:leader="none"/>
        </w:tabs>
        <w:ind w:left="708" w:firstLine="709"/>
        <w:rPr>
          <w:rFonts w:ascii="Arial" w:hAnsi="Arial" w:cs="Arial"/>
          <w:sz w:val="24"/>
          <w:szCs w:val="24"/>
          <w:highlight w:val="yellow"/>
        </w:rPr>
      </w:pPr>
      <w:r>
        <w:rPr>
          <w:rFonts w:cs="Arial" w:ascii="Arial" w:hAnsi="Arial"/>
          <w:sz w:val="24"/>
          <w:szCs w:val="24"/>
          <w:highlight w:val="yellow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>Оценка соответствующих расходов (возможных поступлений) бюджета района: _____________________.</w:t>
      </w:r>
    </w:p>
    <w:p>
      <w:pPr>
        <w:pStyle w:val="Normal"/>
        <w:numPr>
          <w:ilvl w:val="0"/>
          <w:numId w:val="0"/>
        </w:numPr>
        <w:tabs>
          <w:tab w:val="left" w:pos="1134" w:leader="none"/>
        </w:tabs>
        <w:ind w:left="106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исполнения: ____________.</w:t>
      </w:r>
    </w:p>
    <w:p>
      <w:pPr>
        <w:pStyle w:val="Style20"/>
        <w:tabs>
          <w:tab w:val="left" w:pos="1134" w:leader="none"/>
        </w:tabs>
        <w:ind w:left="708" w:firstLine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jc w:val="both"/>
        <w:rPr/>
      </w:pPr>
      <w:r>
        <w:rPr>
          <w:rFonts w:cs="Arial" w:ascii="Arial" w:hAnsi="Arial"/>
          <w:sz w:val="24"/>
          <w:szCs w:val="24"/>
        </w:rPr>
        <w:t>Оценка расходов субъектов предпринимательской и инвестиционной деятельности, связанных с необходимостью соблюдения установленных обязанностей либо с изменением содержания таких обязанностей:___________________________.</w:t>
      </w:r>
    </w:p>
    <w:p>
      <w:pPr>
        <w:pStyle w:val="Normal"/>
        <w:numPr>
          <w:ilvl w:val="0"/>
          <w:numId w:val="0"/>
        </w:numPr>
        <w:tabs>
          <w:tab w:val="left" w:pos="1134" w:leader="none"/>
        </w:tabs>
        <w:ind w:left="106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разработчиком: </w:t>
      </w:r>
    </w:p>
    <w:p>
      <w:pPr>
        <w:pStyle w:val="Normal"/>
        <w:numPr>
          <w:ilvl w:val="0"/>
          <w:numId w:val="0"/>
        </w:numPr>
        <w:tabs>
          <w:tab w:val="left" w:pos="1134" w:leader="none"/>
        </w:tabs>
        <w:ind w:left="1068" w:hanging="0"/>
        <w:jc w:val="both"/>
        <w:rPr/>
      </w:pPr>
      <w:r>
        <w:rPr>
          <w:rFonts w:cs="Arial" w:ascii="Arial" w:hAnsi="Arial"/>
          <w:sz w:val="24"/>
          <w:szCs w:val="24"/>
          <w:u w:val="single"/>
        </w:rPr>
        <w:t>Уведомление размещено на официальном сайте администрации</w:t>
      </w:r>
      <w:bookmarkStart w:id="1" w:name="__UnoMark__183_331462165"/>
      <w:bookmarkEnd w:id="1"/>
      <w:r>
        <w:rPr>
          <w:rFonts w:cs="Arial" w:ascii="Arial" w:hAnsi="Arial"/>
          <w:sz w:val="24"/>
          <w:szCs w:val="24"/>
          <w:u w:val="single"/>
        </w:rPr>
        <w:t xml:space="preserve"> Вагайского района </w:t>
      </w:r>
      <w:r>
        <w:rPr>
          <w:rFonts w:eastAsia="Times New Roman" w:cs="Times New Roman" w:ascii="Arial" w:hAnsi="Arial"/>
          <w:color w:val="00000A"/>
          <w:sz w:val="24"/>
          <w:szCs w:val="24"/>
          <w:u w:val="single"/>
          <w:lang w:eastAsia="ru-RU"/>
        </w:rPr>
        <w:t>vagai.admtyumen.ru</w:t>
      </w:r>
      <w:r>
        <w:rPr>
          <w:rFonts w:eastAsia="Times New Roman" w:cs="Times New Roman" w:ascii="Arial" w:hAnsi="Arial"/>
          <w:color w:val="00000A"/>
          <w:sz w:val="20"/>
          <w:szCs w:val="20"/>
          <w:u w:val="single"/>
          <w:lang w:eastAsia="ru-RU"/>
        </w:rPr>
        <w:t xml:space="preserve"> </w:t>
      </w:r>
      <w:r>
        <w:rPr>
          <w:rFonts w:eastAsia="Times New Roman" w:cs="Times New Roman" w:ascii="Arial" w:hAnsi="Arial"/>
          <w:color w:val="00000A"/>
          <w:sz w:val="24"/>
          <w:szCs w:val="24"/>
          <w:u w:val="single"/>
          <w:lang w:eastAsia="ru-RU"/>
        </w:rPr>
        <w:t>30</w:t>
      </w:r>
      <w:r>
        <w:rPr>
          <w:rFonts w:cs="Arial" w:ascii="Arial" w:hAnsi="Arial"/>
          <w:sz w:val="24"/>
          <w:szCs w:val="24"/>
          <w:u w:val="single"/>
        </w:rPr>
        <w:t>.01.2019г.., срок принятия предложений с 31.01.2019г. по 13.02.2019г.</w:t>
      </w:r>
    </w:p>
    <w:p>
      <w:pPr>
        <w:pStyle w:val="Style20"/>
        <w:tabs>
          <w:tab w:val="left" w:pos="1134" w:leader="none"/>
        </w:tabs>
        <w:ind w:left="708" w:firstLine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left" w:pos="1134" w:leader="none"/>
        </w:tabs>
        <w:ind w:lef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Иные сведения, которые, по мнению разработчика, позволяют оценить обоснованность предлагаемого регулирования. </w:t>
      </w:r>
    </w:p>
    <w:p>
      <w:pPr>
        <w:pStyle w:val="Normal"/>
        <w:numPr>
          <w:ilvl w:val="0"/>
          <w:numId w:val="0"/>
        </w:numPr>
        <w:tabs>
          <w:tab w:val="left" w:pos="1134" w:leader="none"/>
        </w:tabs>
        <w:ind w:left="1068" w:hanging="0"/>
        <w:jc w:val="both"/>
        <w:rPr/>
      </w:pPr>
      <w:r>
        <w:rPr>
          <w:rFonts w:cs="Arial" w:ascii="Arial" w:hAnsi="Arial"/>
          <w:sz w:val="24"/>
          <w:szCs w:val="24"/>
          <w:u w:val="single"/>
        </w:rPr>
        <w:t>Отсутствуют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tabs>
          <w:tab w:val="left" w:pos="1134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Предложения в рамках публичных  консультаций принимались </w:t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sz w:val="24"/>
          <w:szCs w:val="24"/>
        </w:rPr>
        <w:t xml:space="preserve">с </w:t>
      </w:r>
      <w:r>
        <w:rPr>
          <w:rFonts w:cs="Arial" w:ascii="Arial" w:hAnsi="Arial"/>
          <w:sz w:val="24"/>
          <w:szCs w:val="24"/>
          <w:u w:val="single"/>
        </w:rPr>
        <w:t>31.01.2019г.</w:t>
      </w:r>
      <w:r>
        <w:rPr>
          <w:rFonts w:cs="Arial" w:ascii="Arial" w:hAnsi="Arial"/>
          <w:sz w:val="24"/>
          <w:szCs w:val="24"/>
        </w:rPr>
        <w:t xml:space="preserve"> по </w:t>
      </w:r>
      <w:r>
        <w:rPr>
          <w:rFonts w:cs="Arial" w:ascii="Arial" w:hAnsi="Arial"/>
          <w:sz w:val="24"/>
          <w:szCs w:val="24"/>
          <w:u w:val="single"/>
        </w:rPr>
        <w:t xml:space="preserve">13.02.2019г. </w:t>
      </w:r>
      <w:r>
        <w:rPr>
          <w:rFonts w:cs="Arial" w:ascii="Arial" w:hAnsi="Arial"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Предложения от участников публичных консультаций не поступало.</w:t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sz w:val="24"/>
          <w:szCs w:val="24"/>
        </w:rPr>
        <w:t xml:space="preserve">О проведении публичных консультаций были извещены (указываются структурные подразделения, отраслевые (функциональных) органов Администрации и представителях общественности в адрес которых была направлена информация о проведении публичных консультаций) — </w:t>
      </w:r>
      <w:r>
        <w:rPr>
          <w:rFonts w:cs="Arial" w:ascii="Arial" w:hAnsi="Arial"/>
          <w:b/>
          <w:bCs/>
          <w:i w:val="false"/>
          <w:iCs w:val="false"/>
          <w:sz w:val="24"/>
          <w:szCs w:val="24"/>
          <w:u w:val="none"/>
        </w:rPr>
        <w:t>информация размещена на официальном сайте администрации района в разделе Оценка регулирующего воздействия НПА и проектов НПА.</w:t>
      </w:r>
    </w:p>
    <w:p>
      <w:pPr>
        <w:pStyle w:val="Normal"/>
        <w:ind w:firstLine="708"/>
        <w:jc w:val="both"/>
        <w:rPr/>
      </w:pPr>
      <w:r>
        <w:rPr/>
      </w:r>
    </w:p>
    <w:sectPr>
      <w:type w:val="nextPage"/>
      <w:pgSz w:w="11906" w:h="16838"/>
      <w:pgMar w:left="1134" w:right="1701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qFormat/>
    <w:rsid w:val="006d228b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WW8Num4z0">
    <w:name w:val="WW8Num4z0"/>
    <w:qFormat/>
    <w:rPr>
      <w:rFonts w:ascii="Arial" w:hAnsi="Arial" w:cs="Arial"/>
      <w:sz w:val="24"/>
      <w:szCs w:val="24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ListLabel16">
    <w:name w:val="ListLabel 16"/>
    <w:qFormat/>
    <w:rPr>
      <w:rFonts w:cs="Arial"/>
      <w:sz w:val="24"/>
      <w:szCs w:val="24"/>
    </w:rPr>
  </w:style>
  <w:style w:type="character" w:styleId="ListLabel17">
    <w:name w:val="ListLabel 17"/>
    <w:qFormat/>
    <w:rPr>
      <w:rFonts w:ascii="Arial" w:hAnsi="Arial" w:cs="Arial"/>
      <w:sz w:val="24"/>
      <w:szCs w:val="24"/>
    </w:rPr>
  </w:style>
  <w:style w:type="character" w:styleId="ListLabel18">
    <w:name w:val="ListLabel 18"/>
    <w:qFormat/>
    <w:rPr>
      <w:rFonts w:ascii="Arial" w:hAnsi="Arial" w:cs="Arial"/>
      <w:sz w:val="24"/>
      <w:szCs w:val="24"/>
    </w:rPr>
  </w:style>
  <w:style w:type="character" w:styleId="ListLabel19">
    <w:name w:val="ListLabel 19"/>
    <w:qFormat/>
    <w:rPr>
      <w:rFonts w:ascii="Arial" w:hAnsi="Arial" w:cs="Arial"/>
      <w:sz w:val="24"/>
      <w:szCs w:val="24"/>
    </w:rPr>
  </w:style>
  <w:style w:type="character" w:styleId="ListLabel20">
    <w:name w:val="ListLabel 20"/>
    <w:qFormat/>
    <w:rPr>
      <w:rFonts w:ascii="Arial" w:hAnsi="Arial" w:cs="Arial"/>
      <w:sz w:val="24"/>
      <w:szCs w:val="24"/>
    </w:rPr>
  </w:style>
  <w:style w:type="character" w:styleId="ListLabel21">
    <w:name w:val="ListLabel 21"/>
    <w:qFormat/>
    <w:rPr>
      <w:rFonts w:ascii="Arial" w:hAnsi="Arial" w:cs="Arial"/>
      <w:sz w:val="24"/>
      <w:szCs w:val="24"/>
    </w:rPr>
  </w:style>
  <w:style w:type="character" w:styleId="ListLabel22">
    <w:name w:val="ListLabel 22"/>
    <w:qFormat/>
    <w:rPr>
      <w:rFonts w:ascii="Arial" w:hAnsi="Arial" w:cs="Arial"/>
      <w:sz w:val="24"/>
      <w:szCs w:val="24"/>
    </w:rPr>
  </w:style>
  <w:style w:type="character" w:styleId="ListLabel23">
    <w:name w:val="ListLabel 23"/>
    <w:qFormat/>
    <w:rPr>
      <w:rFonts w:ascii="Arial" w:hAnsi="Arial" w:cs="Arial"/>
      <w:sz w:val="24"/>
      <w:szCs w:val="24"/>
    </w:rPr>
  </w:style>
  <w:style w:type="character" w:styleId="ListLabel24">
    <w:name w:val="ListLabel 24"/>
    <w:qFormat/>
    <w:rPr>
      <w:rFonts w:ascii="Arial" w:hAnsi="Arial" w:cs="Arial"/>
      <w:sz w:val="24"/>
      <w:szCs w:val="24"/>
    </w:rPr>
  </w:style>
  <w:style w:type="character" w:styleId="ListLabel25">
    <w:name w:val="ListLabel 25"/>
    <w:qFormat/>
    <w:rPr>
      <w:rFonts w:ascii="Arial" w:hAnsi="Arial" w:cs="Arial"/>
      <w:sz w:val="24"/>
      <w:szCs w:val="24"/>
    </w:rPr>
  </w:style>
  <w:style w:type="character" w:styleId="ListLabel26">
    <w:name w:val="ListLabel 26"/>
    <w:qFormat/>
    <w:rPr>
      <w:rFonts w:ascii="Arial" w:hAnsi="Arial" w:cs="Arial"/>
      <w:sz w:val="24"/>
      <w:szCs w:val="24"/>
    </w:rPr>
  </w:style>
  <w:style w:type="character" w:styleId="ListLabel27">
    <w:name w:val="ListLabel 27"/>
    <w:qFormat/>
    <w:rPr>
      <w:rFonts w:ascii="Arial" w:hAnsi="Arial" w:cs="Arial"/>
      <w:sz w:val="24"/>
      <w:szCs w:val="24"/>
    </w:rPr>
  </w:style>
  <w:style w:type="character" w:styleId="ListLabel28">
    <w:name w:val="ListLabel 28"/>
    <w:qFormat/>
    <w:rPr>
      <w:rFonts w:ascii="Arial" w:hAnsi="Arial" w:cs="Arial"/>
      <w:sz w:val="24"/>
      <w:szCs w:val="24"/>
    </w:rPr>
  </w:style>
  <w:style w:type="character" w:styleId="ListLabel29">
    <w:name w:val="ListLabel 29"/>
    <w:qFormat/>
    <w:rPr>
      <w:rFonts w:ascii="Arial" w:hAnsi="Arial" w:cs="Arial"/>
      <w:sz w:val="24"/>
      <w:szCs w:val="24"/>
    </w:rPr>
  </w:style>
  <w:style w:type="character" w:styleId="ListLabel30">
    <w:name w:val="ListLabel 30"/>
    <w:qFormat/>
    <w:rPr>
      <w:rFonts w:ascii="Arial" w:hAnsi="Arial" w:cs="Arial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157f13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6"/>
    <w:qFormat/>
    <w:rsid w:val="006d228b"/>
    <w:pPr/>
    <w:rPr>
      <w:rFonts w:ascii="Segoe UI" w:hAnsi="Segoe UI" w:cs="Segoe UI"/>
      <w:sz w:val="18"/>
      <w:szCs w:val="18"/>
    </w:rPr>
  </w:style>
  <w:style w:type="paragraph" w:styleId="Style20">
    <w:name w:val="Абзац списка"/>
    <w:basedOn w:val="Normal"/>
    <w:qFormat/>
    <w:pPr>
      <w:ind w:left="708" w:hanging="0"/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e44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EC955-4863-4814-976F-D64A95E3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Application>LibreOffice/5.1.1.3$Windows_x86 LibreOffice_project/89f508ef3ecebd2cfb8e1def0f0ba9a803b88a6d</Application>
  <Pages>2</Pages>
  <Words>251</Words>
  <Characters>2145</Characters>
  <CharactersWithSpaces>2374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2016-04-19T04:22:00Z</dcterms:created>
  <dc:creator>Косолапова Наталья Николаевна</dc:creator>
  <dc:description/>
  <dc:language>ru-RU</dc:language>
  <cp:lastModifiedBy/>
  <cp:lastPrinted>2019-02-15T14:51:05Z</cp:lastPrinted>
  <dcterms:modified xsi:type="dcterms:W3CDTF">2019-02-15T14:51:11Z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