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СВОДНЫЙ ОТЧЕТ</w:t>
      </w:r>
    </w:p>
    <w:p>
      <w:pPr>
        <w:pStyle w:val="Normal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о проведении оценки регулирующего воздействия</w:t>
      </w:r>
    </w:p>
    <w:p>
      <w:pPr>
        <w:pStyle w:val="Normal"/>
        <w:jc w:val="center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проект</w:t>
      </w:r>
      <w:bookmarkStart w:id="0" w:name="_GoBack"/>
      <w:bookmarkEnd w:id="0"/>
      <w:r>
        <w:rPr>
          <w:rFonts w:cs="Arial" w:ascii="Arial" w:hAnsi="Arial"/>
          <w:b/>
          <w:sz w:val="24"/>
          <w:szCs w:val="24"/>
        </w:rPr>
        <w:t xml:space="preserve">а акта </w:t>
      </w:r>
    </w:p>
    <w:p>
      <w:pPr>
        <w:pStyle w:val="Normal"/>
        <w:ind w:firstLine="708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ind w:firstLine="708"/>
        <w:jc w:val="both"/>
        <w:rPr/>
      </w:pPr>
      <w:r>
        <w:rPr>
          <w:rFonts w:cs="Arial" w:ascii="Arial" w:hAnsi="Arial"/>
          <w:sz w:val="24"/>
          <w:szCs w:val="24"/>
        </w:rPr>
        <w:t>Наименование нормативного правового акта</w:t>
      </w:r>
      <w:r>
        <w:rPr>
          <w:rFonts w:cs="Arial" w:ascii="Arial" w:hAnsi="Arial"/>
          <w:b/>
          <w:sz w:val="24"/>
          <w:szCs w:val="24"/>
        </w:rPr>
        <w:t xml:space="preserve"> </w:t>
      </w:r>
      <w:bookmarkStart w:id="1" w:name="__DdeLink__692_856551970"/>
      <w:r>
        <w:rPr>
          <w:rFonts w:cs="Arial" w:ascii="Arial" w:hAnsi="Arial"/>
          <w:b w:val="false"/>
          <w:bCs w:val="false"/>
          <w:sz w:val="24"/>
          <w:szCs w:val="24"/>
          <w:u w:val="single"/>
        </w:rPr>
        <w:t>Проект постановления «</w:t>
      </w:r>
      <w:r>
        <w:rPr>
          <w:rFonts w:eastAsia="Times New Roman" w:cs="Arial" w:ascii="Arial" w:hAnsi="Arial"/>
          <w:b w:val="false"/>
          <w:bCs/>
          <w:i w:val="false"/>
          <w:iCs w:val="false"/>
          <w:sz w:val="24"/>
          <w:szCs w:val="24"/>
          <w:u w:val="single"/>
          <w:lang w:eastAsia="ru-RU"/>
        </w:rPr>
        <w:t xml:space="preserve">Об утверждении регламента </w:t>
      </w:r>
      <w:r>
        <w:rPr>
          <w:rFonts w:cs="Arial" w:ascii="Arial" w:hAnsi="Arial"/>
          <w:b w:val="false"/>
          <w:bCs w:val="false"/>
          <w:i w:val="false"/>
          <w:iCs w:val="false"/>
          <w:sz w:val="24"/>
          <w:szCs w:val="24"/>
          <w:u w:val="single"/>
        </w:rPr>
        <w:t xml:space="preserve">сопровождения инвестиционных проектов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sz w:val="24"/>
          <w:szCs w:val="24"/>
          <w:u w:val="single"/>
          <w:lang w:eastAsia="ru-RU"/>
        </w:rPr>
        <w:t>в Вагайском муниципальном районе</w:t>
      </w:r>
      <w:bookmarkEnd w:id="1"/>
      <w:r>
        <w:rPr>
          <w:rFonts w:cs="Arial" w:ascii="Arial" w:hAnsi="Arial"/>
          <w:b w:val="false"/>
          <w:bCs w:val="false"/>
          <w:sz w:val="24"/>
          <w:szCs w:val="24"/>
          <w:u w:val="none"/>
        </w:rPr>
        <w:t>».</w:t>
      </w:r>
    </w:p>
    <w:p>
      <w:pPr>
        <w:pStyle w:val="Normal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numPr>
          <w:ilvl w:val="0"/>
          <w:numId w:val="1"/>
        </w:numPr>
        <w:tabs>
          <w:tab w:val="left" w:pos="1134" w:leader="none"/>
        </w:tabs>
        <w:ind w:left="0" w:firstLine="709"/>
        <w:jc w:val="both"/>
        <w:rPr/>
      </w:pPr>
      <w:r>
        <w:rPr>
          <w:rFonts w:cs="Arial" w:ascii="Arial" w:hAnsi="Arial"/>
          <w:sz w:val="24"/>
          <w:szCs w:val="24"/>
        </w:rPr>
        <w:t xml:space="preserve">Степень регулирующего воздействия проекта нормативного правового акта: </w:t>
      </w:r>
    </w:p>
    <w:p>
      <w:pPr>
        <w:pStyle w:val="Normal"/>
        <w:numPr>
          <w:ilvl w:val="0"/>
          <w:numId w:val="0"/>
        </w:numPr>
        <w:tabs>
          <w:tab w:val="left" w:pos="1134" w:leader="none"/>
        </w:tabs>
        <w:ind w:left="1068" w:hanging="0"/>
        <w:jc w:val="both"/>
        <w:rPr/>
      </w:pPr>
      <w:r>
        <w:rPr>
          <w:rFonts w:cs="Arial" w:ascii="Arial" w:hAnsi="Arial"/>
          <w:sz w:val="24"/>
          <w:szCs w:val="24"/>
          <w:u w:val="single"/>
        </w:rPr>
        <w:t>Средняя</w:t>
      </w:r>
      <w:r>
        <w:rPr>
          <w:rFonts w:cs="Arial" w:ascii="Arial" w:hAnsi="Arial"/>
          <w:sz w:val="24"/>
          <w:szCs w:val="24"/>
        </w:rPr>
        <w:t>.</w:t>
      </w:r>
    </w:p>
    <w:p>
      <w:pPr>
        <w:pStyle w:val="Normal"/>
        <w:tabs>
          <w:tab w:val="left" w:pos="1134" w:leader="none"/>
        </w:tabs>
        <w:ind w:left="851" w:firstLine="709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numPr>
          <w:ilvl w:val="0"/>
          <w:numId w:val="1"/>
        </w:numPr>
        <w:tabs>
          <w:tab w:val="left" w:pos="1134" w:leader="none"/>
        </w:tabs>
        <w:ind w:left="0" w:firstLine="709"/>
        <w:jc w:val="both"/>
        <w:rPr/>
      </w:pPr>
      <w:r>
        <w:rPr>
          <w:rFonts w:cs="Arial" w:ascii="Arial" w:hAnsi="Arial"/>
          <w:sz w:val="24"/>
          <w:szCs w:val="24"/>
        </w:rPr>
        <w:t xml:space="preserve">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проблемы: </w:t>
      </w:r>
    </w:p>
    <w:p>
      <w:pPr>
        <w:pStyle w:val="Normal"/>
        <w:ind w:left="0" w:right="0" w:firstLine="540"/>
        <w:jc w:val="both"/>
        <w:rPr/>
      </w:pPr>
      <w:r>
        <w:rPr>
          <w:rFonts w:cs="Arial" w:ascii="Arial" w:hAnsi="Arial"/>
          <w:sz w:val="26"/>
          <w:szCs w:val="26"/>
          <w:u w:val="single"/>
        </w:rPr>
        <w:t>Оказание информационно-консультационного и организационного содействия субъектам предпринимательской и инвестиционной деятельности, реализующим и (или) планирующим реализацию инвестиционных проектов на территории  Вагайского района</w:t>
      </w:r>
    </w:p>
    <w:p>
      <w:pPr>
        <w:pStyle w:val="Style20"/>
        <w:tabs>
          <w:tab w:val="left" w:pos="1134" w:leader="none"/>
        </w:tabs>
        <w:ind w:left="708" w:firstLine="709"/>
        <w:rPr>
          <w:rFonts w:ascii="Arial" w:hAnsi="Arial" w:cs="Arial"/>
          <w:sz w:val="24"/>
          <w:szCs w:val="24"/>
          <w:highlight w:val="yellow"/>
        </w:rPr>
      </w:pPr>
      <w:r>
        <w:rPr>
          <w:rFonts w:cs="Arial" w:ascii="Arial" w:hAnsi="Arial"/>
          <w:sz w:val="24"/>
          <w:szCs w:val="24"/>
          <w:highlight w:val="yellow"/>
        </w:rPr>
      </w:r>
    </w:p>
    <w:p>
      <w:pPr>
        <w:pStyle w:val="Normal"/>
        <w:numPr>
          <w:ilvl w:val="0"/>
          <w:numId w:val="1"/>
        </w:numPr>
        <w:tabs>
          <w:tab w:val="left" w:pos="1134" w:leader="none"/>
        </w:tabs>
        <w:ind w:left="0" w:firstLine="709"/>
        <w:jc w:val="both"/>
        <w:rPr/>
      </w:pPr>
      <w:r>
        <w:rPr>
          <w:rFonts w:cs="Arial" w:ascii="Arial" w:hAnsi="Arial"/>
          <w:sz w:val="24"/>
          <w:szCs w:val="24"/>
        </w:rPr>
        <w:t>Цели предлагаемого регулирования:</w:t>
      </w:r>
    </w:p>
    <w:p>
      <w:pPr>
        <w:pStyle w:val="Normal"/>
        <w:numPr>
          <w:ilvl w:val="0"/>
          <w:numId w:val="0"/>
        </w:numPr>
        <w:tabs>
          <w:tab w:val="left" w:pos="1134" w:leader="none"/>
        </w:tabs>
        <w:ind w:left="1068" w:hanging="0"/>
        <w:jc w:val="both"/>
        <w:rPr>
          <w:rFonts w:ascii="Arial" w:hAnsi="Arial" w:cs="Arial"/>
          <w:sz w:val="24"/>
          <w:szCs w:val="24"/>
          <w:highlight w:val="yellow"/>
          <w:u w:val="single"/>
        </w:rPr>
      </w:pPr>
      <w:r>
        <w:rPr>
          <w:rFonts w:cs="Arial" w:ascii="Arial" w:hAnsi="Arial"/>
          <w:sz w:val="24"/>
          <w:szCs w:val="24"/>
          <w:highlight w:val="yellow"/>
          <w:u w:val="single"/>
        </w:rPr>
      </w:r>
    </w:p>
    <w:p>
      <w:pPr>
        <w:pStyle w:val="Normal"/>
        <w:numPr>
          <w:ilvl w:val="0"/>
          <w:numId w:val="1"/>
        </w:numPr>
        <w:tabs>
          <w:tab w:val="left" w:pos="1134" w:leader="none"/>
        </w:tabs>
        <w:ind w:left="0" w:firstLine="709"/>
        <w:jc w:val="both"/>
        <w:rPr/>
      </w:pPr>
      <w:r>
        <w:rPr>
          <w:rFonts w:cs="Arial" w:ascii="Arial" w:hAnsi="Arial"/>
          <w:sz w:val="24"/>
          <w:szCs w:val="24"/>
        </w:rPr>
        <w:t xml:space="preserve">Описание предлагаемого регулирования и иных возможных способов решения проблемы: </w:t>
      </w:r>
    </w:p>
    <w:p>
      <w:pPr>
        <w:pStyle w:val="Normal"/>
        <w:tabs>
          <w:tab w:val="left" w:pos="1134" w:leader="none"/>
        </w:tabs>
        <w:ind w:left="0" w:hanging="0"/>
        <w:jc w:val="both"/>
        <w:rPr/>
      </w:pPr>
      <w:r>
        <w:rPr>
          <w:rFonts w:cs="Arial" w:ascii="Arial" w:hAnsi="Arial"/>
          <w:sz w:val="24"/>
          <w:szCs w:val="24"/>
          <w:u w:val="single"/>
        </w:rPr>
        <w:t>С</w:t>
      </w:r>
      <w:r>
        <w:rPr>
          <w:rFonts w:cs="Arial" w:ascii="Arial" w:hAnsi="Arial"/>
          <w:sz w:val="24"/>
          <w:szCs w:val="24"/>
          <w:u w:val="single"/>
        </w:rPr>
        <w:t>опровождение инвестиционных проектов</w:t>
      </w:r>
      <w:r>
        <w:rPr>
          <w:rFonts w:cs="Arial" w:ascii="Arial" w:hAnsi="Arial"/>
          <w:sz w:val="24"/>
          <w:szCs w:val="24"/>
          <w:u w:val="single"/>
        </w:rPr>
        <w:t>.</w:t>
      </w:r>
    </w:p>
    <w:p>
      <w:pPr>
        <w:pStyle w:val="Style20"/>
        <w:tabs>
          <w:tab w:val="left" w:pos="1134" w:leader="none"/>
        </w:tabs>
        <w:ind w:left="708" w:firstLine="709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numPr>
          <w:ilvl w:val="0"/>
          <w:numId w:val="1"/>
        </w:numPr>
        <w:tabs>
          <w:tab w:val="left" w:pos="1134" w:leader="none"/>
        </w:tabs>
        <w:ind w:left="0" w:firstLine="709"/>
        <w:jc w:val="both"/>
        <w:rPr/>
      </w:pPr>
      <w:r>
        <w:rPr>
          <w:rFonts w:cs="Arial" w:ascii="Arial" w:hAnsi="Arial"/>
          <w:sz w:val="24"/>
          <w:szCs w:val="24"/>
        </w:rPr>
        <w:t>Оценка соответствующих расходов (возможных поступлений) бюджета района: _____________________.</w:t>
      </w:r>
    </w:p>
    <w:p>
      <w:pPr>
        <w:pStyle w:val="Normal"/>
        <w:numPr>
          <w:ilvl w:val="0"/>
          <w:numId w:val="0"/>
        </w:numPr>
        <w:tabs>
          <w:tab w:val="left" w:pos="1134" w:leader="none"/>
        </w:tabs>
        <w:ind w:left="1068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numPr>
          <w:ilvl w:val="0"/>
          <w:numId w:val="1"/>
        </w:numPr>
        <w:tabs>
          <w:tab w:val="left" w:pos="1134" w:leader="none"/>
        </w:tabs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Новые обязанности для субъектов предпринимательской и инвестиционной деятельности либо изменение содержания существующих обязанностей, а также порядок организации их исполнения: ____________.</w:t>
      </w:r>
    </w:p>
    <w:p>
      <w:pPr>
        <w:pStyle w:val="Style20"/>
        <w:tabs>
          <w:tab w:val="left" w:pos="1134" w:leader="none"/>
        </w:tabs>
        <w:ind w:left="708" w:firstLine="709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numPr>
          <w:ilvl w:val="0"/>
          <w:numId w:val="1"/>
        </w:numPr>
        <w:tabs>
          <w:tab w:val="left" w:pos="1134" w:leader="none"/>
        </w:tabs>
        <w:jc w:val="both"/>
        <w:rPr/>
      </w:pPr>
      <w:r>
        <w:rPr>
          <w:rFonts w:cs="Arial" w:ascii="Arial" w:hAnsi="Arial"/>
          <w:sz w:val="24"/>
          <w:szCs w:val="24"/>
        </w:rPr>
        <w:t>Оценка расходов субъектов предпринимательской и инвестиционной деятельности, связанных с необходимостью соблюдения установленных обязанностей либо с изменением содержания таких обязанностей:___________________________.</w:t>
      </w:r>
    </w:p>
    <w:p>
      <w:pPr>
        <w:pStyle w:val="Normal"/>
        <w:numPr>
          <w:ilvl w:val="0"/>
          <w:numId w:val="0"/>
        </w:numPr>
        <w:tabs>
          <w:tab w:val="left" w:pos="1134" w:leader="none"/>
        </w:tabs>
        <w:ind w:left="1068" w:hanging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numPr>
          <w:ilvl w:val="0"/>
          <w:numId w:val="1"/>
        </w:numPr>
        <w:tabs>
          <w:tab w:val="left" w:pos="1134" w:leader="none"/>
        </w:tabs>
        <w:ind w:left="0" w:firstLine="709"/>
        <w:jc w:val="both"/>
        <w:rPr/>
      </w:pPr>
      <w:r>
        <w:rPr>
          <w:rFonts w:cs="Arial" w:ascii="Arial" w:hAnsi="Arial"/>
          <w:sz w:val="24"/>
          <w:szCs w:val="24"/>
        </w:rPr>
        <w:t xml:space="preserve">Сведения о размещении уведомления, сроках представления предложений, лицах, представивших предложения, и обобщенных результатах их рассмотрения разработчиком: </w:t>
      </w:r>
    </w:p>
    <w:p>
      <w:pPr>
        <w:pStyle w:val="Normal"/>
        <w:numPr>
          <w:ilvl w:val="0"/>
          <w:numId w:val="0"/>
        </w:numPr>
        <w:tabs>
          <w:tab w:val="left" w:pos="1134" w:leader="none"/>
        </w:tabs>
        <w:ind w:left="1068" w:hanging="0"/>
        <w:jc w:val="both"/>
        <w:rPr/>
      </w:pPr>
      <w:r>
        <w:rPr>
          <w:rFonts w:cs="Arial" w:ascii="Arial" w:hAnsi="Arial"/>
          <w:sz w:val="24"/>
          <w:szCs w:val="24"/>
          <w:u w:val="single"/>
        </w:rPr>
        <w:t xml:space="preserve">Уведомление размещено на официальном сайте администрации Вагайского района </w:t>
      </w:r>
      <w:r>
        <w:rPr>
          <w:rFonts w:eastAsia="Times New Roman" w:cs="Times New Roman" w:ascii="Arial" w:hAnsi="Arial"/>
          <w:color w:val="00000A"/>
          <w:sz w:val="24"/>
          <w:szCs w:val="24"/>
          <w:u w:val="single"/>
          <w:lang w:eastAsia="ru-RU"/>
        </w:rPr>
        <w:t>vagai.admtyumen.ru</w:t>
      </w:r>
      <w:r>
        <w:rPr>
          <w:rFonts w:eastAsia="Times New Roman" w:cs="Times New Roman" w:ascii="Arial" w:hAnsi="Arial"/>
          <w:color w:val="00000A"/>
          <w:sz w:val="20"/>
          <w:szCs w:val="20"/>
          <w:u w:val="single"/>
          <w:lang w:eastAsia="ru-RU"/>
        </w:rPr>
        <w:t xml:space="preserve"> </w:t>
      </w:r>
      <w:r>
        <w:rPr>
          <w:rFonts w:eastAsia="Times New Roman" w:cs="Times New Roman" w:ascii="Arial" w:hAnsi="Arial"/>
          <w:color w:val="00000A"/>
          <w:sz w:val="24"/>
          <w:szCs w:val="24"/>
          <w:u w:val="single"/>
          <w:lang w:eastAsia="ru-RU"/>
        </w:rPr>
        <w:t>30</w:t>
      </w:r>
      <w:r>
        <w:rPr>
          <w:rFonts w:cs="Arial" w:ascii="Arial" w:hAnsi="Arial"/>
          <w:sz w:val="24"/>
          <w:szCs w:val="24"/>
          <w:u w:val="single"/>
        </w:rPr>
        <w:t>.01.2019г.., срок принятия предложений с 31.01.2019г. по 13.02.2019г..</w:t>
      </w:r>
    </w:p>
    <w:p>
      <w:pPr>
        <w:pStyle w:val="Style20"/>
        <w:tabs>
          <w:tab w:val="left" w:pos="1134" w:leader="none"/>
        </w:tabs>
        <w:ind w:left="708" w:firstLine="709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numPr>
          <w:ilvl w:val="0"/>
          <w:numId w:val="1"/>
        </w:numPr>
        <w:tabs>
          <w:tab w:val="left" w:pos="1134" w:leader="none"/>
        </w:tabs>
        <w:ind w:left="0" w:firstLine="709"/>
        <w:jc w:val="both"/>
        <w:rPr/>
      </w:pPr>
      <w:r>
        <w:rPr>
          <w:rFonts w:cs="Arial" w:ascii="Arial" w:hAnsi="Arial"/>
          <w:sz w:val="24"/>
          <w:szCs w:val="24"/>
        </w:rPr>
        <w:t xml:space="preserve">Иные сведения, которые, по мнению разработчика, позволяют оценить обоснованность предлагаемого регулирования. </w:t>
      </w:r>
    </w:p>
    <w:p>
      <w:pPr>
        <w:pStyle w:val="Normal"/>
        <w:numPr>
          <w:ilvl w:val="0"/>
          <w:numId w:val="0"/>
        </w:numPr>
        <w:tabs>
          <w:tab w:val="left" w:pos="1134" w:leader="none"/>
        </w:tabs>
        <w:ind w:left="1068" w:hanging="0"/>
        <w:jc w:val="both"/>
        <w:rPr/>
      </w:pPr>
      <w:r>
        <w:rPr>
          <w:rFonts w:cs="Arial" w:ascii="Arial" w:hAnsi="Arial"/>
          <w:sz w:val="24"/>
          <w:szCs w:val="24"/>
          <w:u w:val="single"/>
        </w:rPr>
        <w:t>Отсутствуют</w:t>
      </w:r>
      <w:r>
        <w:rPr>
          <w:rFonts w:cs="Arial" w:ascii="Arial" w:hAnsi="Arial"/>
          <w:sz w:val="24"/>
          <w:szCs w:val="24"/>
        </w:rPr>
        <w:t>.</w:t>
      </w:r>
    </w:p>
    <w:p>
      <w:pPr>
        <w:pStyle w:val="Normal"/>
        <w:tabs>
          <w:tab w:val="left" w:pos="1134" w:leader="none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Предложения в рамках публичных  консультаций принимались </w:t>
      </w:r>
    </w:p>
    <w:p>
      <w:pPr>
        <w:pStyle w:val="Normal"/>
        <w:ind w:firstLine="708"/>
        <w:jc w:val="both"/>
        <w:rPr/>
      </w:pPr>
      <w:r>
        <w:rPr>
          <w:rFonts w:cs="Arial" w:ascii="Arial" w:hAnsi="Arial"/>
          <w:sz w:val="24"/>
          <w:szCs w:val="24"/>
        </w:rPr>
        <w:t>с _______________ по _______________. *</w:t>
      </w:r>
    </w:p>
    <w:p>
      <w:pPr>
        <w:pStyle w:val="Normal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О проведении публичных консультаций были извещены (указываются структурные подразделения, отраслевые (функциональных) органов Администрации и представителях общественности в адрес которых была направлена информация о проведении публичных консультаций) ____________________.</w:t>
      </w:r>
    </w:p>
    <w:p>
      <w:pPr>
        <w:pStyle w:val="Normal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Установлено продление срока (если необходимо продление срока публичных консультаций), в течение которого предложения принимаются разработчиком акта, по __________.</w:t>
      </w:r>
    </w:p>
    <w:p>
      <w:pPr>
        <w:pStyle w:val="Normal"/>
        <w:ind w:firstLine="708"/>
        <w:jc w:val="both"/>
        <w:rPr/>
      </w:pPr>
      <w:r>
        <w:rPr/>
      </w:r>
    </w:p>
    <w:sectPr>
      <w:type w:val="nextPage"/>
      <w:pgSz w:w="11906" w:h="16838"/>
      <w:pgMar w:left="1134" w:right="1701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1068" w:hanging="360"/>
      </w:pPr>
      <w:rPr>
        <w:sz w:val="24"/>
        <w:szCs w:val="24"/>
        <w:rFonts w:ascii="Arial" w:hAnsi="Arial" w:cs="Arial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5"/>
    <w:qFormat/>
    <w:rsid w:val="006d228b"/>
    <w:rPr>
      <w:rFonts w:ascii="Segoe UI" w:hAnsi="Segoe UI" w:cs="Segoe UI"/>
      <w:sz w:val="18"/>
      <w:szCs w:val="18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Courier New"/>
    </w:rPr>
  </w:style>
  <w:style w:type="character" w:styleId="WW8Num4z0">
    <w:name w:val="WW8Num4z0"/>
    <w:qFormat/>
    <w:rPr>
      <w:rFonts w:ascii="Arial" w:hAnsi="Arial" w:cs="Arial"/>
      <w:sz w:val="24"/>
      <w:szCs w:val="24"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ListLabel16">
    <w:name w:val="ListLabel 16"/>
    <w:qFormat/>
    <w:rPr>
      <w:rFonts w:cs="Arial"/>
      <w:sz w:val="24"/>
      <w:szCs w:val="24"/>
    </w:rPr>
  </w:style>
  <w:style w:type="character" w:styleId="ListLabel17">
    <w:name w:val="ListLabel 17"/>
    <w:qFormat/>
    <w:rPr>
      <w:rFonts w:ascii="Arial" w:hAnsi="Arial" w:cs="Arial"/>
      <w:sz w:val="24"/>
      <w:szCs w:val="24"/>
    </w:rPr>
  </w:style>
  <w:style w:type="character" w:styleId="ListLabel18">
    <w:name w:val="ListLabel 18"/>
    <w:qFormat/>
    <w:rPr>
      <w:rFonts w:ascii="Arial" w:hAnsi="Arial" w:cs="Arial"/>
      <w:sz w:val="24"/>
      <w:szCs w:val="24"/>
    </w:rPr>
  </w:style>
  <w:style w:type="character" w:styleId="ListLabel19">
    <w:name w:val="ListLabel 19"/>
    <w:qFormat/>
    <w:rPr>
      <w:rFonts w:ascii="Arial" w:hAnsi="Arial" w:cs="Arial"/>
      <w:sz w:val="24"/>
      <w:szCs w:val="24"/>
    </w:rPr>
  </w:style>
  <w:style w:type="character" w:styleId="ListLabel20">
    <w:name w:val="ListLabel 20"/>
    <w:qFormat/>
    <w:rPr>
      <w:rFonts w:ascii="Arial" w:hAnsi="Arial" w:cs="Arial"/>
      <w:sz w:val="24"/>
      <w:szCs w:val="24"/>
    </w:rPr>
  </w:style>
  <w:style w:type="character" w:styleId="ListLabel21">
    <w:name w:val="ListLabel 21"/>
    <w:qFormat/>
    <w:rPr>
      <w:rFonts w:ascii="Arial" w:hAnsi="Arial" w:cs="Arial"/>
      <w:sz w:val="24"/>
      <w:szCs w:val="24"/>
    </w:rPr>
  </w:style>
  <w:style w:type="character" w:styleId="ListLabel22">
    <w:name w:val="ListLabel 22"/>
    <w:qFormat/>
    <w:rPr>
      <w:rFonts w:ascii="Arial" w:hAnsi="Arial" w:cs="Arial"/>
      <w:sz w:val="24"/>
      <w:szCs w:val="24"/>
    </w:rPr>
  </w:style>
  <w:style w:type="character" w:styleId="ListLabel23">
    <w:name w:val="ListLabel 23"/>
    <w:qFormat/>
    <w:rPr>
      <w:rFonts w:ascii="Arial" w:hAnsi="Arial" w:cs="Arial"/>
      <w:sz w:val="24"/>
      <w:szCs w:val="24"/>
    </w:rPr>
  </w:style>
  <w:style w:type="character" w:styleId="ListLabel24">
    <w:name w:val="ListLabel 24"/>
    <w:qFormat/>
    <w:rPr>
      <w:rFonts w:ascii="Arial" w:hAnsi="Arial" w:cs="Arial"/>
      <w:sz w:val="24"/>
      <w:szCs w:val="24"/>
    </w:rPr>
  </w:style>
  <w:style w:type="character" w:styleId="ListLabel25">
    <w:name w:val="ListLabel 25"/>
    <w:qFormat/>
    <w:rPr>
      <w:rFonts w:ascii="Arial" w:hAnsi="Arial" w:cs="Arial"/>
      <w:sz w:val="24"/>
      <w:szCs w:val="24"/>
    </w:rPr>
  </w:style>
  <w:style w:type="character" w:styleId="ListLabel26">
    <w:name w:val="ListLabel 26"/>
    <w:qFormat/>
    <w:rPr>
      <w:rFonts w:ascii="Arial" w:hAnsi="Arial" w:cs="Arial"/>
      <w:sz w:val="24"/>
      <w:szCs w:val="24"/>
    </w:rPr>
  </w:style>
  <w:style w:type="character" w:styleId="ListLabel27">
    <w:name w:val="ListLabel 27"/>
    <w:qFormat/>
    <w:rPr>
      <w:rFonts w:ascii="Arial" w:hAnsi="Arial" w:cs="Arial"/>
      <w:sz w:val="24"/>
      <w:szCs w:val="24"/>
    </w:rPr>
  </w:style>
  <w:style w:type="character" w:styleId="ListLabel28">
    <w:name w:val="ListLabel 28"/>
    <w:qFormat/>
    <w:rPr>
      <w:rFonts w:ascii="Arial" w:hAnsi="Arial" w:cs="Arial"/>
      <w:sz w:val="24"/>
      <w:szCs w:val="24"/>
    </w:rPr>
  </w:style>
  <w:style w:type="character" w:styleId="ListLabel29">
    <w:name w:val="ListLabel 29"/>
    <w:qFormat/>
    <w:rPr>
      <w:rFonts w:ascii="Arial" w:hAnsi="Arial" w:cs="Arial"/>
      <w:sz w:val="24"/>
      <w:szCs w:val="24"/>
    </w:rPr>
  </w:style>
  <w:style w:type="character" w:styleId="ListLabel30">
    <w:name w:val="ListLabel 30"/>
    <w:qFormat/>
    <w:rPr>
      <w:rFonts w:ascii="Arial" w:hAnsi="Arial" w:cs="Arial"/>
      <w:sz w:val="24"/>
      <w:szCs w:val="24"/>
    </w:rPr>
  </w:style>
  <w:style w:type="character" w:styleId="ListLabel31">
    <w:name w:val="ListLabel 31"/>
    <w:qFormat/>
    <w:rPr>
      <w:rFonts w:ascii="Arial" w:hAnsi="Arial" w:cs="Arial"/>
      <w:sz w:val="24"/>
      <w:szCs w:val="24"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157f13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link w:val="a6"/>
    <w:qFormat/>
    <w:rsid w:val="006d228b"/>
    <w:pPr/>
    <w:rPr>
      <w:rFonts w:ascii="Segoe UI" w:hAnsi="Segoe UI" w:cs="Segoe UI"/>
      <w:sz w:val="18"/>
      <w:szCs w:val="18"/>
    </w:rPr>
  </w:style>
  <w:style w:type="paragraph" w:styleId="Style20">
    <w:name w:val="Абзац списка"/>
    <w:basedOn w:val="Normal"/>
    <w:qFormat/>
    <w:pPr>
      <w:ind w:left="708" w:hanging="0"/>
    </w:pPr>
    <w:rPr/>
  </w:style>
  <w:style w:type="paragraph" w:styleId="ConsPlusNormal">
    <w:name w:val="ConsPlusNormal"/>
    <w:qFormat/>
    <w:pPr>
      <w:widowControl w:val="false"/>
      <w:suppressAutoHyphens w:val="true"/>
      <w:bidi w:val="0"/>
      <w:jc w:val="left"/>
    </w:pPr>
    <w:rPr>
      <w:rFonts w:ascii="Arial" w:hAnsi="Arial" w:eastAsia="Times New Roman" w:cs="Arial"/>
      <w:color w:val="00000A"/>
      <w:sz w:val="20"/>
      <w:szCs w:val="20"/>
      <w:lang w:val="ru-RU" w:eastAsia="zh-CN" w:bidi="hi-IN"/>
    </w:rPr>
  </w:style>
  <w:style w:type="numbering" w:styleId="NoList" w:default="1">
    <w:name w:val="No List"/>
    <w:uiPriority w:val="99"/>
    <w:semiHidden/>
    <w:unhideWhenUsed/>
  </w:style>
  <w:style w:type="numbering" w:styleId="WW8Num4">
    <w:name w:val="WW8Num4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8e44b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EC955-4863-4814-976F-D64A95E33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Application>LibreOffice/5.1.1.3$Windows_x86 LibreOffice_project/89f508ef3ecebd2cfb8e1def0f0ba9a803b88a6d</Application>
  <Pages>2</Pages>
  <Words>245</Words>
  <Characters>2139</Characters>
  <CharactersWithSpaces>2362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2016-04-19T04:22:00Z</dcterms:created>
  <dc:creator>Косолапова Наталья Николаевна</dc:creator>
  <dc:description/>
  <dc:language>ru-RU</dc:language>
  <cp:lastModifiedBy/>
  <cp:lastPrinted>2019-01-30T14:51:29Z</cp:lastPrinted>
  <dcterms:modified xsi:type="dcterms:W3CDTF">2019-01-30T14:52:32Z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